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方正小标宋简体" w:hAnsi="方正小标宋简体" w:eastAsia="方正小标宋简体" w:cs="方正小标宋简体"/>
          <w:b/>
          <w:bCs/>
          <w:sz w:val="44"/>
          <w:szCs w:val="44"/>
        </w:rPr>
      </w:pPr>
    </w:p>
    <w:p>
      <w:pPr>
        <w:jc w:val="center"/>
        <w:rPr>
          <w:rFonts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察隅县政府后勤</w:t>
      </w:r>
    </w:p>
    <w:p>
      <w:pPr>
        <w:jc w:val="center"/>
        <w:rPr>
          <w:rFonts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2021年度部门决算公开</w:t>
      </w:r>
    </w:p>
    <w:p>
      <w:pPr>
        <w:jc w:val="center"/>
        <w:rPr>
          <w:rFonts w:ascii="黑体" w:hAnsi="仿宋_GB2312" w:eastAsia="黑体" w:cs="仿宋_GB2312"/>
          <w:sz w:val="44"/>
          <w:szCs w:val="44"/>
        </w:rPr>
      </w:pPr>
    </w:p>
    <w:p>
      <w:pPr>
        <w:jc w:val="center"/>
        <w:rPr>
          <w:rFonts w:ascii="黑体" w:hAnsi="仿宋_GB2312" w:eastAsia="黑体" w:cs="仿宋_GB2312"/>
          <w:sz w:val="44"/>
          <w:szCs w:val="44"/>
        </w:rPr>
      </w:pPr>
    </w:p>
    <w:p>
      <w:pPr>
        <w:jc w:val="center"/>
        <w:rPr>
          <w:rFonts w:ascii="黑体" w:hAnsi="仿宋_GB2312" w:eastAsia="黑体" w:cs="仿宋_GB2312"/>
          <w:sz w:val="44"/>
          <w:szCs w:val="44"/>
        </w:rPr>
      </w:pPr>
    </w:p>
    <w:p>
      <w:pPr>
        <w:rPr>
          <w:rFonts w:ascii="黑体" w:hAnsi="仿宋_GB2312" w:eastAsia="黑体" w:cs="仿宋_GB2312"/>
          <w:sz w:val="44"/>
          <w:szCs w:val="44"/>
        </w:rPr>
      </w:pPr>
    </w:p>
    <w:p>
      <w:pPr>
        <w:rPr>
          <w:rFonts w:ascii="黑体" w:hAnsi="仿宋_GB2312" w:eastAsia="黑体" w:cs="仿宋_GB2312"/>
          <w:sz w:val="44"/>
          <w:szCs w:val="44"/>
        </w:rPr>
      </w:pPr>
    </w:p>
    <w:p>
      <w:pPr>
        <w:rPr>
          <w:rFonts w:ascii="黑体" w:hAnsi="仿宋_GB2312" w:eastAsia="黑体" w:cs="仿宋_GB2312"/>
          <w:sz w:val="44"/>
          <w:szCs w:val="44"/>
        </w:rPr>
      </w:pPr>
    </w:p>
    <w:p>
      <w:pPr>
        <w:rPr>
          <w:rFonts w:ascii="黑体" w:hAnsi="仿宋_GB2312" w:eastAsia="黑体" w:cs="仿宋_GB2312"/>
          <w:sz w:val="44"/>
          <w:szCs w:val="44"/>
        </w:rPr>
      </w:pPr>
    </w:p>
    <w:p>
      <w:pPr>
        <w:rPr>
          <w:rFonts w:ascii="黑体" w:hAnsi="仿宋_GB2312" w:eastAsia="黑体" w:cs="仿宋_GB2312"/>
          <w:sz w:val="44"/>
          <w:szCs w:val="44"/>
        </w:rPr>
      </w:pPr>
    </w:p>
    <w:p>
      <w:pPr>
        <w:rPr>
          <w:rFonts w:ascii="黑体" w:hAnsi="仿宋_GB2312" w:eastAsia="黑体" w:cs="仿宋_GB2312"/>
          <w:sz w:val="44"/>
          <w:szCs w:val="44"/>
        </w:rPr>
      </w:pPr>
    </w:p>
    <w:p>
      <w:pPr>
        <w:rPr>
          <w:rFonts w:ascii="黑体" w:hAnsi="仿宋_GB2312" w:eastAsia="黑体" w:cs="仿宋_GB2312"/>
          <w:sz w:val="44"/>
          <w:szCs w:val="44"/>
        </w:rPr>
      </w:pPr>
    </w:p>
    <w:p>
      <w:pPr>
        <w:rPr>
          <w:rFonts w:ascii="黑体" w:hAnsi="仿宋_GB2312" w:eastAsia="黑体" w:cs="仿宋_GB2312"/>
          <w:sz w:val="44"/>
          <w:szCs w:val="44"/>
        </w:rPr>
      </w:pPr>
    </w:p>
    <w:p>
      <w:pPr>
        <w:rPr>
          <w:rFonts w:ascii="黑体" w:hAnsi="仿宋_GB2312" w:eastAsia="黑体" w:cs="仿宋_GB2312"/>
          <w:sz w:val="44"/>
          <w:szCs w:val="44"/>
        </w:rPr>
      </w:pPr>
    </w:p>
    <w:p>
      <w:pPr>
        <w:rPr>
          <w:rFonts w:ascii="黑体" w:hAnsi="仿宋_GB2312" w:eastAsia="黑体" w:cs="仿宋_GB2312"/>
          <w:sz w:val="44"/>
          <w:szCs w:val="44"/>
        </w:rPr>
      </w:pPr>
    </w:p>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2022年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日</w:t>
      </w:r>
    </w:p>
    <w:p>
      <w:pPr>
        <w:rPr>
          <w:rFonts w:ascii="黑体" w:hAnsi="仿宋_GB2312" w:eastAsia="黑体" w:cs="仿宋_GB2312"/>
          <w:sz w:val="44"/>
          <w:szCs w:val="44"/>
        </w:rPr>
      </w:pPr>
    </w:p>
    <w:p>
      <w:pPr>
        <w:rPr>
          <w:rFonts w:ascii="黑体" w:hAnsi="仿宋_GB2312" w:eastAsia="黑体" w:cs="仿宋_GB2312"/>
          <w:sz w:val="44"/>
          <w:szCs w:val="44"/>
        </w:rPr>
      </w:pPr>
    </w:p>
    <w:p>
      <w:pPr>
        <w:rPr>
          <w:rFonts w:ascii="黑体" w:hAnsi="仿宋_GB2312" w:eastAsia="黑体" w:cs="仿宋_GB2312"/>
          <w:sz w:val="44"/>
          <w:szCs w:val="44"/>
        </w:rPr>
      </w:pPr>
    </w:p>
    <w:p>
      <w:pPr>
        <w:jc w:val="center"/>
        <w:rPr>
          <w:rFonts w:ascii="方正小标宋简体" w:hAnsi="方正小标宋简体" w:eastAsia="方正小标宋简体" w:cs="方正小标宋简体"/>
          <w:sz w:val="44"/>
          <w:szCs w:val="44"/>
        </w:rPr>
      </w:pPr>
    </w:p>
    <w:p>
      <w:pPr>
        <w:jc w:val="center"/>
        <w:rPr>
          <w:rFonts w:ascii="方正小标宋简体" w:hAnsi="方正小标宋简体" w:eastAsia="方正小标宋简体" w:cs="方正小标宋简体"/>
          <w:sz w:val="44"/>
          <w:szCs w:val="44"/>
        </w:rPr>
      </w:pPr>
    </w:p>
    <w:p>
      <w:pPr>
        <w:jc w:val="both"/>
        <w:rPr>
          <w:rFonts w:ascii="方正小标宋简体" w:hAnsi="方正小标宋简体" w:eastAsia="方正小标宋简体" w:cs="方正小标宋简体"/>
          <w:sz w:val="44"/>
          <w:szCs w:val="44"/>
        </w:rPr>
      </w:pP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目 录</w:t>
      </w:r>
    </w:p>
    <w:p>
      <w:pPr>
        <w:jc w:val="center"/>
        <w:rPr>
          <w:rFonts w:ascii="黑体" w:hAnsi="仿宋_GB2312" w:eastAsia="黑体" w:cs="仿宋_GB2312"/>
          <w:sz w:val="36"/>
          <w:szCs w:val="36"/>
        </w:rPr>
      </w:pPr>
    </w:p>
    <w:p>
      <w:pPr>
        <w:widowControl/>
        <w:adjustRightInd w:val="0"/>
        <w:snapToGrid w:val="0"/>
        <w:spacing w:line="560" w:lineRule="exact"/>
        <w:rPr>
          <w:rFonts w:ascii="黑体" w:hAnsi="黑体" w:eastAsia="黑体" w:cs="黑体"/>
          <w:bCs/>
          <w:snapToGrid w:val="0"/>
          <w:w w:val="95"/>
          <w:kern w:val="0"/>
          <w:sz w:val="32"/>
          <w:szCs w:val="32"/>
        </w:rPr>
      </w:pPr>
      <w:r>
        <w:rPr>
          <w:rFonts w:hint="eastAsia" w:ascii="黑体" w:hAnsi="黑体" w:eastAsia="黑体" w:cs="黑体"/>
          <w:bCs/>
          <w:snapToGrid w:val="0"/>
          <w:w w:val="95"/>
          <w:kern w:val="0"/>
          <w:sz w:val="32"/>
          <w:szCs w:val="32"/>
        </w:rPr>
        <w:t>第一部分 察隅县政府后勤概况</w:t>
      </w:r>
    </w:p>
    <w:p>
      <w:pPr>
        <w:spacing w:line="56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一、部门职责</w:t>
      </w:r>
    </w:p>
    <w:p>
      <w:pPr>
        <w:spacing w:line="56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二、机构设置</w:t>
      </w:r>
    </w:p>
    <w:p>
      <w:pPr>
        <w:widowControl/>
        <w:adjustRightInd w:val="0"/>
        <w:snapToGrid w:val="0"/>
        <w:spacing w:line="560" w:lineRule="exact"/>
        <w:rPr>
          <w:rFonts w:ascii="黑体" w:hAnsi="黑体" w:eastAsia="黑体" w:cs="黑体"/>
          <w:bCs/>
          <w:snapToGrid w:val="0"/>
          <w:w w:val="95"/>
          <w:kern w:val="0"/>
          <w:sz w:val="32"/>
          <w:szCs w:val="32"/>
        </w:rPr>
      </w:pPr>
      <w:r>
        <w:rPr>
          <w:rFonts w:hint="eastAsia" w:ascii="黑体" w:hAnsi="黑体" w:eastAsia="黑体" w:cs="黑体"/>
          <w:bCs/>
          <w:snapToGrid w:val="0"/>
          <w:w w:val="95"/>
          <w:kern w:val="0"/>
          <w:sz w:val="32"/>
          <w:szCs w:val="32"/>
        </w:rPr>
        <w:t xml:space="preserve">第二部分 察隅县政府后勤2021年度部门决算明细表 </w:t>
      </w:r>
    </w:p>
    <w:p>
      <w:pPr>
        <w:pStyle w:val="8"/>
        <w:spacing w:line="560" w:lineRule="exact"/>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一、收入支出决算总表</w:t>
      </w:r>
    </w:p>
    <w:p>
      <w:pPr>
        <w:pStyle w:val="8"/>
        <w:spacing w:line="560" w:lineRule="exact"/>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二、收入决算总表</w:t>
      </w:r>
    </w:p>
    <w:p>
      <w:pPr>
        <w:pStyle w:val="8"/>
        <w:spacing w:line="560" w:lineRule="exact"/>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三、支出决算总表</w:t>
      </w:r>
    </w:p>
    <w:p>
      <w:pPr>
        <w:pStyle w:val="8"/>
        <w:spacing w:line="560" w:lineRule="exact"/>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四、财政拨款收入支出决算总表</w:t>
      </w:r>
    </w:p>
    <w:p>
      <w:pPr>
        <w:pStyle w:val="8"/>
        <w:spacing w:line="560" w:lineRule="exact"/>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五、一般公共预算财政拨款支出决算表</w:t>
      </w:r>
    </w:p>
    <w:p>
      <w:pPr>
        <w:pStyle w:val="8"/>
        <w:spacing w:line="560" w:lineRule="exact"/>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六、一般公共预算财政拨款基本支出决算表</w:t>
      </w:r>
    </w:p>
    <w:p>
      <w:pPr>
        <w:pStyle w:val="8"/>
        <w:spacing w:line="560" w:lineRule="exact"/>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七、一般公共预算财政拨款“三公”经费支出决算表</w:t>
      </w:r>
    </w:p>
    <w:p>
      <w:pPr>
        <w:pStyle w:val="8"/>
        <w:spacing w:line="560" w:lineRule="exact"/>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八、政府性基金预算财政拨款收入支出决算表</w:t>
      </w:r>
    </w:p>
    <w:p>
      <w:pPr>
        <w:pStyle w:val="8"/>
        <w:spacing w:line="560" w:lineRule="exact"/>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九、国有资本经营预算财政拨款支出决算表</w:t>
      </w:r>
    </w:p>
    <w:p>
      <w:pPr>
        <w:widowControl/>
        <w:adjustRightInd w:val="0"/>
        <w:snapToGrid w:val="0"/>
        <w:spacing w:line="560" w:lineRule="exact"/>
        <w:rPr>
          <w:rFonts w:ascii="黑体" w:hAnsi="黑体" w:eastAsia="黑体" w:cs="黑体"/>
          <w:bCs/>
          <w:snapToGrid w:val="0"/>
          <w:w w:val="95"/>
          <w:kern w:val="0"/>
          <w:sz w:val="32"/>
          <w:szCs w:val="32"/>
        </w:rPr>
      </w:pPr>
      <w:r>
        <w:rPr>
          <w:rFonts w:hint="eastAsia" w:ascii="黑体" w:hAnsi="黑体" w:eastAsia="黑体" w:cs="黑体"/>
          <w:bCs/>
          <w:snapToGrid w:val="0"/>
          <w:w w:val="95"/>
          <w:kern w:val="0"/>
          <w:sz w:val="32"/>
          <w:szCs w:val="32"/>
        </w:rPr>
        <w:t>第三部分 察隅县政府后勤2021年度部门决算数据说明</w:t>
      </w:r>
    </w:p>
    <w:p>
      <w:pPr>
        <w:spacing w:line="560" w:lineRule="exact"/>
        <w:jc w:val="left"/>
        <w:rPr>
          <w:rFonts w:ascii="仿宋_GB2312" w:eastAsia="仿宋_GB2312"/>
          <w:sz w:val="32"/>
          <w:szCs w:val="32"/>
        </w:rPr>
      </w:pPr>
      <w:r>
        <w:rPr>
          <w:rFonts w:hint="eastAsia" w:ascii="仿宋_GB2312" w:eastAsia="仿宋_GB2312"/>
          <w:sz w:val="32"/>
          <w:szCs w:val="32"/>
        </w:rPr>
        <w:t>一、收入支出</w:t>
      </w:r>
      <w:r>
        <w:rPr>
          <w:rFonts w:hint="eastAsia" w:ascii="仿宋_GB2312" w:hAnsi="仿宋_GB2312" w:eastAsia="仿宋_GB2312" w:cs="仿宋_GB2312"/>
          <w:sz w:val="32"/>
          <w:szCs w:val="32"/>
        </w:rPr>
        <w:t>决算</w:t>
      </w:r>
      <w:r>
        <w:rPr>
          <w:rFonts w:hint="eastAsia" w:ascii="仿宋_GB2312" w:eastAsia="仿宋_GB2312"/>
          <w:sz w:val="32"/>
          <w:szCs w:val="32"/>
        </w:rPr>
        <w:t>总体情况说明</w:t>
      </w:r>
    </w:p>
    <w:p>
      <w:pPr>
        <w:spacing w:line="560" w:lineRule="exact"/>
        <w:jc w:val="left"/>
        <w:rPr>
          <w:rFonts w:ascii="仿宋_GB2312" w:eastAsia="仿宋_GB2312"/>
          <w:sz w:val="32"/>
          <w:szCs w:val="32"/>
        </w:rPr>
      </w:pPr>
      <w:r>
        <w:rPr>
          <w:rFonts w:hint="eastAsia" w:ascii="仿宋_GB2312" w:eastAsia="仿宋_GB2312"/>
          <w:sz w:val="32"/>
          <w:szCs w:val="32"/>
        </w:rPr>
        <w:t>二、收入</w:t>
      </w:r>
      <w:r>
        <w:rPr>
          <w:rFonts w:hint="eastAsia" w:ascii="仿宋_GB2312" w:hAnsi="仿宋_GB2312" w:eastAsia="仿宋_GB2312" w:cs="仿宋_GB2312"/>
          <w:sz w:val="32"/>
          <w:szCs w:val="32"/>
        </w:rPr>
        <w:t>决算</w:t>
      </w:r>
      <w:r>
        <w:rPr>
          <w:rFonts w:hint="eastAsia" w:ascii="仿宋_GB2312" w:eastAsia="仿宋_GB2312"/>
          <w:sz w:val="32"/>
          <w:szCs w:val="32"/>
        </w:rPr>
        <w:t>情况说明</w:t>
      </w:r>
    </w:p>
    <w:p>
      <w:pPr>
        <w:spacing w:line="560" w:lineRule="exact"/>
        <w:jc w:val="left"/>
        <w:rPr>
          <w:rFonts w:ascii="仿宋_GB2312" w:eastAsia="仿宋_GB2312"/>
          <w:sz w:val="32"/>
          <w:szCs w:val="32"/>
        </w:rPr>
      </w:pPr>
      <w:r>
        <w:rPr>
          <w:rFonts w:hint="eastAsia" w:ascii="仿宋_GB2312" w:eastAsia="仿宋_GB2312"/>
          <w:sz w:val="32"/>
          <w:szCs w:val="32"/>
        </w:rPr>
        <w:t>三、支出</w:t>
      </w:r>
      <w:r>
        <w:rPr>
          <w:rFonts w:hint="eastAsia" w:ascii="仿宋_GB2312" w:hAnsi="仿宋_GB2312" w:eastAsia="仿宋_GB2312" w:cs="仿宋_GB2312"/>
          <w:sz w:val="32"/>
          <w:szCs w:val="32"/>
        </w:rPr>
        <w:t>决算</w:t>
      </w:r>
      <w:r>
        <w:rPr>
          <w:rFonts w:hint="eastAsia" w:ascii="仿宋_GB2312" w:eastAsia="仿宋_GB2312"/>
          <w:sz w:val="32"/>
          <w:szCs w:val="32"/>
        </w:rPr>
        <w:t>情况说明</w:t>
      </w:r>
    </w:p>
    <w:p>
      <w:pPr>
        <w:spacing w:line="560" w:lineRule="exact"/>
        <w:jc w:val="left"/>
        <w:rPr>
          <w:rFonts w:ascii="仿宋_GB2312" w:eastAsia="仿宋_GB2312"/>
          <w:sz w:val="32"/>
          <w:szCs w:val="32"/>
        </w:rPr>
      </w:pPr>
      <w:r>
        <w:rPr>
          <w:rFonts w:hint="eastAsia" w:ascii="仿宋_GB2312" w:eastAsia="仿宋_GB2312"/>
          <w:sz w:val="32"/>
          <w:szCs w:val="32"/>
        </w:rPr>
        <w:t>四、财政拨款收入支出</w:t>
      </w:r>
      <w:r>
        <w:rPr>
          <w:rFonts w:hint="eastAsia" w:ascii="仿宋_GB2312" w:hAnsi="仿宋_GB2312" w:eastAsia="仿宋_GB2312" w:cs="仿宋_GB2312"/>
          <w:sz w:val="32"/>
          <w:szCs w:val="32"/>
        </w:rPr>
        <w:t>决算</w:t>
      </w:r>
      <w:r>
        <w:rPr>
          <w:rFonts w:hint="eastAsia" w:ascii="仿宋_GB2312" w:eastAsia="仿宋_GB2312"/>
          <w:sz w:val="32"/>
          <w:szCs w:val="32"/>
        </w:rPr>
        <w:t>总体情况说明</w:t>
      </w:r>
    </w:p>
    <w:p>
      <w:pPr>
        <w:spacing w:line="560" w:lineRule="exact"/>
        <w:jc w:val="left"/>
        <w:rPr>
          <w:rFonts w:ascii="仿宋_GB2312" w:eastAsia="仿宋_GB2312"/>
          <w:sz w:val="32"/>
          <w:szCs w:val="32"/>
        </w:rPr>
      </w:pPr>
      <w:r>
        <w:rPr>
          <w:rFonts w:hint="eastAsia" w:ascii="仿宋_GB2312" w:eastAsia="仿宋_GB2312"/>
          <w:sz w:val="32"/>
          <w:szCs w:val="32"/>
        </w:rPr>
        <w:t>五、一般公共预算财政拨款支出</w:t>
      </w:r>
      <w:r>
        <w:rPr>
          <w:rFonts w:hint="eastAsia" w:ascii="仿宋_GB2312" w:hAnsi="仿宋_GB2312" w:eastAsia="仿宋_GB2312" w:cs="仿宋_GB2312"/>
          <w:sz w:val="32"/>
          <w:szCs w:val="32"/>
        </w:rPr>
        <w:t>决算</w:t>
      </w:r>
      <w:r>
        <w:rPr>
          <w:rFonts w:hint="eastAsia" w:ascii="仿宋_GB2312" w:eastAsia="仿宋_GB2312"/>
          <w:sz w:val="32"/>
          <w:szCs w:val="32"/>
        </w:rPr>
        <w:t>情况说明</w:t>
      </w:r>
    </w:p>
    <w:p>
      <w:pPr>
        <w:spacing w:line="560" w:lineRule="exact"/>
        <w:jc w:val="left"/>
        <w:rPr>
          <w:rFonts w:ascii="仿宋_GB2312" w:eastAsia="仿宋_GB2312"/>
          <w:sz w:val="32"/>
          <w:szCs w:val="32"/>
        </w:rPr>
      </w:pPr>
      <w:r>
        <w:rPr>
          <w:rFonts w:hint="eastAsia" w:ascii="仿宋_GB2312" w:eastAsia="仿宋_GB2312"/>
          <w:sz w:val="32"/>
          <w:szCs w:val="32"/>
        </w:rPr>
        <w:t>六、一般公共预算财政拨款基本支出</w:t>
      </w:r>
      <w:r>
        <w:rPr>
          <w:rFonts w:hint="eastAsia" w:ascii="仿宋_GB2312" w:hAnsi="仿宋_GB2312" w:eastAsia="仿宋_GB2312" w:cs="仿宋_GB2312"/>
          <w:sz w:val="32"/>
          <w:szCs w:val="32"/>
        </w:rPr>
        <w:t>决算</w:t>
      </w:r>
      <w:r>
        <w:rPr>
          <w:rFonts w:hint="eastAsia" w:ascii="仿宋_GB2312" w:eastAsia="仿宋_GB2312"/>
          <w:sz w:val="32"/>
          <w:szCs w:val="32"/>
        </w:rPr>
        <w:t>情况说明</w:t>
      </w:r>
    </w:p>
    <w:p>
      <w:pPr>
        <w:spacing w:line="560" w:lineRule="exact"/>
        <w:jc w:val="left"/>
        <w:rPr>
          <w:rFonts w:ascii="仿宋_GB2312" w:eastAsia="仿宋_GB2312"/>
          <w:sz w:val="32"/>
          <w:szCs w:val="32"/>
        </w:rPr>
      </w:pPr>
      <w:r>
        <w:rPr>
          <w:rFonts w:hint="eastAsia" w:ascii="仿宋_GB2312" w:eastAsia="仿宋_GB2312"/>
          <w:sz w:val="32"/>
          <w:szCs w:val="32"/>
        </w:rPr>
        <w:t>七、一般公共预算财政拨款“三公”经费支出</w:t>
      </w:r>
      <w:r>
        <w:rPr>
          <w:rFonts w:hint="eastAsia" w:ascii="仿宋_GB2312" w:hAnsi="仿宋_GB2312" w:eastAsia="仿宋_GB2312" w:cs="仿宋_GB2312"/>
          <w:sz w:val="32"/>
          <w:szCs w:val="32"/>
        </w:rPr>
        <w:t>决算</w:t>
      </w:r>
      <w:r>
        <w:rPr>
          <w:rFonts w:hint="eastAsia" w:ascii="仿宋_GB2312" w:eastAsia="仿宋_GB2312"/>
          <w:sz w:val="32"/>
          <w:szCs w:val="32"/>
        </w:rPr>
        <w:t>情况说明</w:t>
      </w:r>
    </w:p>
    <w:p>
      <w:pPr>
        <w:pStyle w:val="8"/>
        <w:spacing w:line="560" w:lineRule="exact"/>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八、政府性基金预算财政拨款收入支出决算情况说明</w:t>
      </w:r>
    </w:p>
    <w:p>
      <w:pPr>
        <w:spacing w:line="560" w:lineRule="exact"/>
        <w:jc w:val="left"/>
        <w:rPr>
          <w:rFonts w:ascii="仿宋_GB2312" w:eastAsia="仿宋_GB2312"/>
          <w:sz w:val="32"/>
          <w:szCs w:val="32"/>
        </w:rPr>
      </w:pPr>
      <w:r>
        <w:rPr>
          <w:rFonts w:hint="eastAsia" w:ascii="仿宋_GB2312" w:hAnsi="仿宋_GB2312" w:eastAsia="仿宋_GB2312" w:cs="仿宋_GB2312"/>
          <w:sz w:val="32"/>
          <w:szCs w:val="32"/>
        </w:rPr>
        <w:t>九、国有资本经营预算财政拨款支出决算情况说明</w:t>
      </w:r>
      <w:r>
        <w:rPr>
          <w:rFonts w:hint="eastAsia" w:ascii="仿宋_GB2312" w:hAnsi="仿宋_GB2312" w:eastAsia="仿宋_GB2312" w:cs="仿宋_GB2312"/>
          <w:sz w:val="32"/>
          <w:szCs w:val="32"/>
        </w:rPr>
        <w:br w:type="textWrapping"/>
      </w:r>
      <w:r>
        <w:rPr>
          <w:rFonts w:hint="eastAsia" w:ascii="仿宋_GB2312" w:eastAsia="仿宋_GB2312"/>
          <w:sz w:val="32"/>
          <w:szCs w:val="32"/>
        </w:rPr>
        <w:t>十、其他重要事项情况说明</w:t>
      </w:r>
    </w:p>
    <w:p>
      <w:pPr>
        <w:widowControl/>
        <w:adjustRightInd w:val="0"/>
        <w:snapToGrid w:val="0"/>
        <w:spacing w:line="560" w:lineRule="exact"/>
        <w:rPr>
          <w:rFonts w:ascii="黑体" w:hAnsi="黑体" w:eastAsia="黑体" w:cs="黑体"/>
          <w:bCs/>
          <w:snapToGrid w:val="0"/>
          <w:w w:val="95"/>
          <w:kern w:val="0"/>
          <w:sz w:val="32"/>
          <w:szCs w:val="32"/>
        </w:rPr>
      </w:pPr>
      <w:r>
        <w:rPr>
          <w:rFonts w:hint="eastAsia" w:ascii="黑体" w:hAnsi="黑体" w:eastAsia="黑体" w:cs="黑体"/>
          <w:bCs/>
          <w:snapToGrid w:val="0"/>
          <w:w w:val="95"/>
          <w:kern w:val="0"/>
          <w:sz w:val="32"/>
          <w:szCs w:val="32"/>
        </w:rPr>
        <w:t>第四部分  名词解释</w:t>
      </w:r>
    </w:p>
    <w:p>
      <w:pPr>
        <w:spacing w:line="560" w:lineRule="exact"/>
        <w:rPr>
          <w:rFonts w:ascii="仿宋_GB2312" w:hAnsi="黑体" w:eastAsia="仿宋_GB2312" w:cs="黑体"/>
          <w:bCs/>
          <w:snapToGrid w:val="0"/>
          <w:w w:val="95"/>
          <w:sz w:val="32"/>
          <w:szCs w:val="32"/>
        </w:rPr>
      </w:pPr>
      <w:r>
        <w:rPr>
          <w:rFonts w:hint="eastAsia" w:ascii="仿宋_GB2312" w:hAnsi="黑体" w:eastAsia="仿宋_GB2312" w:cs="黑体"/>
          <w:bCs/>
          <w:snapToGrid w:val="0"/>
          <w:w w:val="95"/>
          <w:sz w:val="32"/>
          <w:szCs w:val="32"/>
        </w:rPr>
        <w:t>附件：</w:t>
      </w:r>
    </w:p>
    <w:p>
      <w:pPr>
        <w:widowControl/>
        <w:numPr>
          <w:ilvl w:val="0"/>
          <w:numId w:val="1"/>
        </w:numPr>
        <w:adjustRightInd w:val="0"/>
        <w:snapToGrid w:val="0"/>
        <w:spacing w:line="560" w:lineRule="exact"/>
        <w:rPr>
          <w:rFonts w:ascii="仿宋_GB2312" w:hAnsi="仿宋_GB2312" w:eastAsia="仿宋_GB2312" w:cs="仿宋_GB2312"/>
          <w:snapToGrid w:val="0"/>
          <w:w w:val="95"/>
          <w:sz w:val="32"/>
          <w:szCs w:val="32"/>
        </w:rPr>
      </w:pPr>
      <w:r>
        <w:rPr>
          <w:rFonts w:hint="eastAsia" w:ascii="仿宋_GB2312" w:hAnsi="仿宋_GB2312" w:eastAsia="仿宋_GB2312" w:cs="仿宋_GB2312"/>
          <w:snapToGrid w:val="0"/>
          <w:w w:val="95"/>
          <w:sz w:val="32"/>
          <w:szCs w:val="32"/>
        </w:rPr>
        <w:t>2021年度部门决算明细表（含九张表）</w:t>
      </w:r>
    </w:p>
    <w:p>
      <w:pPr>
        <w:keepNext w:val="0"/>
        <w:keepLines w:val="0"/>
        <w:pageBreakBefore w:val="0"/>
        <w:widowControl w:val="0"/>
        <w:numPr>
          <w:ilvl w:val="0"/>
          <w:numId w:val="0"/>
        </w:numPr>
        <w:kinsoku/>
        <w:wordWrap/>
        <w:overflowPunct/>
        <w:topLinePunct w:val="0"/>
        <w:autoSpaceDE/>
        <w:autoSpaceDN/>
        <w:bidi w:val="0"/>
        <w:spacing w:line="480" w:lineRule="exact"/>
        <w:jc w:val="both"/>
        <w:textAlignment w:val="auto"/>
        <w:rPr>
          <w:rFonts w:hint="eastAsia" w:ascii="方正小标宋简体" w:hAnsi="方正小标宋简体" w:eastAsia="方正小标宋简体" w:cs="方正小标宋简体"/>
          <w:bCs/>
          <w:sz w:val="44"/>
          <w:szCs w:val="44"/>
        </w:rPr>
      </w:pPr>
      <w:r>
        <w:rPr>
          <w:rFonts w:hint="eastAsia" w:ascii="仿宋_GB2312" w:hAnsi="仿宋_GB2312" w:eastAsia="仿宋_GB2312" w:cs="仿宋_GB2312"/>
          <w:snapToGrid w:val="0"/>
          <w:w w:val="95"/>
          <w:sz w:val="32"/>
          <w:szCs w:val="32"/>
          <w:highlight w:val="none"/>
          <w:lang w:val="en-US" w:eastAsia="zh-CN"/>
        </w:rPr>
        <w:t>2.2021年度部门整体支出绩效评价报告及绩效评价体系评分表</w:t>
      </w:r>
    </w:p>
    <w:p>
      <w:pPr>
        <w:spacing w:line="480" w:lineRule="exact"/>
        <w:jc w:val="center"/>
        <w:rPr>
          <w:rFonts w:ascii="方正小标宋简体" w:hAnsi="方正小标宋简体" w:eastAsia="方正小标宋简体" w:cs="方正小标宋简体"/>
          <w:bCs/>
          <w:sz w:val="44"/>
          <w:szCs w:val="44"/>
        </w:rPr>
      </w:pPr>
    </w:p>
    <w:p>
      <w:pPr>
        <w:spacing w:line="480" w:lineRule="exact"/>
        <w:jc w:val="center"/>
        <w:rPr>
          <w:rFonts w:ascii="方正小标宋简体" w:hAnsi="方正小标宋简体" w:eastAsia="方正小标宋简体" w:cs="方正小标宋简体"/>
          <w:bCs/>
          <w:sz w:val="44"/>
          <w:szCs w:val="44"/>
        </w:rPr>
      </w:pPr>
    </w:p>
    <w:p>
      <w:pPr>
        <w:spacing w:line="480" w:lineRule="exact"/>
        <w:jc w:val="left"/>
        <w:rPr>
          <w:rFonts w:ascii="方正小标宋简体" w:hAnsi="方正小标宋简体" w:eastAsia="方正小标宋简体" w:cs="方正小标宋简体"/>
          <w:bCs/>
          <w:sz w:val="44"/>
          <w:szCs w:val="44"/>
        </w:rPr>
        <w:sectPr>
          <w:pgSz w:w="11906" w:h="16838"/>
          <w:pgMar w:top="1440" w:right="1800" w:bottom="1440" w:left="1800" w:header="708" w:footer="708" w:gutter="0"/>
          <w:pgNumType w:fmt="numberInDash"/>
          <w:cols w:space="708" w:num="1"/>
          <w:docGrid w:linePitch="360" w:charSpace="0"/>
        </w:sectPr>
      </w:pPr>
    </w:p>
    <w:p>
      <w:pPr>
        <w:keepNext w:val="0"/>
        <w:keepLines w:val="0"/>
        <w:pageBreakBefore w:val="0"/>
        <w:numPr>
          <w:ilvl w:val="0"/>
          <w:numId w:val="2"/>
        </w:numPr>
        <w:kinsoku/>
        <w:wordWrap/>
        <w:overflowPunct/>
        <w:topLinePunct w:val="0"/>
        <w:autoSpaceDE/>
        <w:autoSpaceDN/>
        <w:bidi w:val="0"/>
        <w:spacing w:line="560" w:lineRule="exact"/>
        <w:jc w:val="center"/>
        <w:textAlignment w:val="auto"/>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察隅县政府后勤概况</w:t>
      </w:r>
    </w:p>
    <w:p>
      <w:pPr>
        <w:keepNext w:val="0"/>
        <w:keepLines w:val="0"/>
        <w:pageBreakBefore w:val="0"/>
        <w:kinsoku/>
        <w:wordWrap/>
        <w:overflowPunct/>
        <w:topLinePunct w:val="0"/>
        <w:autoSpaceDE/>
        <w:autoSpaceDN/>
        <w:bidi w:val="0"/>
        <w:spacing w:line="560" w:lineRule="exact"/>
        <w:textAlignment w:val="auto"/>
        <w:rPr>
          <w:rFonts w:ascii="黑体" w:hAnsi="仿宋_GB2312" w:eastAsia="黑体" w:cs="仿宋_GB2312"/>
          <w:bCs/>
          <w:sz w:val="32"/>
          <w:szCs w:val="32"/>
        </w:rPr>
      </w:pP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ascii="黑体" w:hAnsi="黑体" w:eastAsia="黑体"/>
          <w:sz w:val="32"/>
          <w:szCs w:val="32"/>
        </w:rPr>
      </w:pPr>
      <w:r>
        <w:rPr>
          <w:rFonts w:hint="eastAsia" w:ascii="黑体" w:hAnsi="黑体" w:eastAsia="黑体"/>
          <w:sz w:val="32"/>
          <w:szCs w:val="32"/>
        </w:rPr>
        <w:t>一、部门职责</w:t>
      </w:r>
    </w:p>
    <w:p>
      <w:pPr>
        <w:keepNext w:val="0"/>
        <w:keepLines w:val="0"/>
        <w:pageBreakBefore w:val="0"/>
        <w:kinsoku/>
        <w:wordWrap/>
        <w:overflowPunct/>
        <w:topLinePunct w:val="0"/>
        <w:autoSpaceDE/>
        <w:autoSpaceDN/>
        <w:bidi w:val="0"/>
        <w:spacing w:line="560" w:lineRule="exact"/>
        <w:ind w:firstLine="482" w:firstLineChars="150"/>
        <w:jc w:val="both"/>
        <w:textAlignment w:val="auto"/>
        <w:rPr>
          <w:rFonts w:hint="eastAsia" w:ascii="仿宋_GB2312" w:eastAsia="仿宋_GB2312"/>
          <w:b/>
          <w:sz w:val="32"/>
          <w:szCs w:val="32"/>
        </w:rPr>
      </w:pPr>
      <w:r>
        <w:rPr>
          <w:rFonts w:hint="eastAsia" w:ascii="仿宋_GB2312" w:eastAsia="仿宋_GB2312"/>
          <w:b/>
          <w:sz w:val="32"/>
          <w:szCs w:val="32"/>
        </w:rPr>
        <w:t>察隅县政府后勤主要履行下列职责：</w:t>
      </w:r>
    </w:p>
    <w:p>
      <w:pPr>
        <w:keepNext w:val="0"/>
        <w:keepLines w:val="0"/>
        <w:pageBreakBefore w:val="0"/>
        <w:kinsoku/>
        <w:wordWrap/>
        <w:overflowPunct/>
        <w:topLinePunct w:val="0"/>
        <w:autoSpaceDE/>
        <w:autoSpaceDN/>
        <w:bidi w:val="0"/>
        <w:spacing w:line="560" w:lineRule="exact"/>
        <w:ind w:firstLine="480" w:firstLineChars="150"/>
        <w:jc w:val="both"/>
        <w:textAlignment w:val="auto"/>
        <w:rPr>
          <w:rFonts w:hint="eastAsia" w:ascii="仿宋_GB2312" w:eastAsia="仿宋_GB2312"/>
          <w:b w:val="0"/>
          <w:bCs/>
          <w:sz w:val="32"/>
          <w:szCs w:val="32"/>
          <w:lang w:val="zh-CN"/>
        </w:rPr>
      </w:pPr>
      <w:r>
        <w:rPr>
          <w:rFonts w:hint="eastAsia" w:ascii="仿宋_GB2312" w:eastAsia="仿宋_GB2312"/>
          <w:b w:val="0"/>
          <w:bCs/>
          <w:sz w:val="32"/>
          <w:szCs w:val="32"/>
          <w:lang w:val="en-US" w:eastAsia="zh-CN"/>
        </w:rPr>
        <w:t>1.</w:t>
      </w:r>
      <w:r>
        <w:rPr>
          <w:rFonts w:hint="eastAsia" w:ascii="仿宋_GB2312" w:eastAsia="仿宋_GB2312"/>
          <w:b w:val="0"/>
          <w:bCs/>
          <w:sz w:val="32"/>
          <w:szCs w:val="32"/>
          <w:lang w:val="zh-CN"/>
        </w:rPr>
        <w:t>根据党和国家的方针、政策以及有关法律、法规，结合我县实际，制定机关后勤服务中心工作管理办法、规章制度并组织实施；</w:t>
      </w:r>
    </w:p>
    <w:p>
      <w:pPr>
        <w:keepNext w:val="0"/>
        <w:keepLines w:val="0"/>
        <w:pageBreakBefore w:val="0"/>
        <w:kinsoku/>
        <w:wordWrap/>
        <w:overflowPunct/>
        <w:topLinePunct w:val="0"/>
        <w:autoSpaceDE/>
        <w:autoSpaceDN/>
        <w:bidi w:val="0"/>
        <w:spacing w:line="560" w:lineRule="exact"/>
        <w:ind w:firstLine="480" w:firstLineChars="150"/>
        <w:jc w:val="both"/>
        <w:textAlignment w:val="auto"/>
        <w:rPr>
          <w:rFonts w:hint="eastAsia" w:ascii="仿宋_GB2312" w:eastAsia="仿宋_GB2312"/>
          <w:b w:val="0"/>
          <w:bCs/>
          <w:sz w:val="32"/>
          <w:szCs w:val="32"/>
        </w:rPr>
      </w:pPr>
      <w:r>
        <w:rPr>
          <w:rFonts w:hint="eastAsia" w:ascii="仿宋_GB2312" w:eastAsia="仿宋_GB2312"/>
          <w:b w:val="0"/>
          <w:bCs/>
          <w:sz w:val="32"/>
          <w:szCs w:val="32"/>
          <w:lang w:val="zh-CN"/>
        </w:rPr>
        <w:t>2</w:t>
      </w:r>
      <w:r>
        <w:rPr>
          <w:rFonts w:hint="eastAsia" w:ascii="仿宋_GB2312" w:eastAsia="仿宋_GB2312"/>
          <w:b w:val="0"/>
          <w:bCs/>
          <w:sz w:val="32"/>
          <w:szCs w:val="32"/>
          <w:lang w:val="en-US" w:eastAsia="zh-CN"/>
        </w:rPr>
        <w:t>.</w:t>
      </w:r>
      <w:r>
        <w:rPr>
          <w:rFonts w:hint="eastAsia" w:ascii="仿宋_GB2312" w:eastAsia="仿宋_GB2312"/>
          <w:b w:val="0"/>
          <w:bCs/>
          <w:sz w:val="32"/>
          <w:szCs w:val="32"/>
          <w:lang w:val="zh-CN"/>
        </w:rPr>
        <w:t>负责本县政府办公室及研究室、政府法制办公室的车辆运营管理、会议安排、水电供给、绿化保洁等后勤服务工作；</w:t>
      </w:r>
    </w:p>
    <w:p>
      <w:pPr>
        <w:keepNext w:val="0"/>
        <w:keepLines w:val="0"/>
        <w:pageBreakBefore w:val="0"/>
        <w:kinsoku/>
        <w:wordWrap/>
        <w:overflowPunct/>
        <w:topLinePunct w:val="0"/>
        <w:autoSpaceDE/>
        <w:autoSpaceDN/>
        <w:bidi w:val="0"/>
        <w:spacing w:line="560" w:lineRule="exact"/>
        <w:ind w:firstLine="480" w:firstLineChars="150"/>
        <w:jc w:val="both"/>
        <w:textAlignment w:val="auto"/>
        <w:rPr>
          <w:rFonts w:hint="eastAsia" w:ascii="仿宋_GB2312" w:eastAsia="仿宋_GB2312"/>
          <w:b w:val="0"/>
          <w:bCs/>
          <w:sz w:val="32"/>
          <w:szCs w:val="32"/>
        </w:rPr>
      </w:pPr>
      <w:r>
        <w:rPr>
          <w:rFonts w:hint="eastAsia" w:ascii="仿宋_GB2312" w:eastAsia="仿宋_GB2312"/>
          <w:b w:val="0"/>
          <w:bCs/>
          <w:sz w:val="32"/>
          <w:szCs w:val="32"/>
          <w:lang w:val="zh-CN"/>
        </w:rPr>
        <w:t>3</w:t>
      </w:r>
      <w:r>
        <w:rPr>
          <w:rFonts w:hint="eastAsia" w:ascii="仿宋_GB2312" w:eastAsia="仿宋_GB2312"/>
          <w:b w:val="0"/>
          <w:bCs/>
          <w:sz w:val="32"/>
          <w:szCs w:val="32"/>
          <w:lang w:val="en-US" w:eastAsia="zh-CN"/>
        </w:rPr>
        <w:t>.</w:t>
      </w:r>
      <w:r>
        <w:rPr>
          <w:rFonts w:hint="eastAsia" w:ascii="仿宋_GB2312" w:eastAsia="仿宋_GB2312"/>
          <w:b w:val="0"/>
          <w:bCs/>
          <w:sz w:val="32"/>
          <w:szCs w:val="32"/>
          <w:lang w:val="zh-CN"/>
        </w:rPr>
        <w:t>负责政府食堂餐饮服务、接待管理工作；</w:t>
      </w:r>
    </w:p>
    <w:p>
      <w:pPr>
        <w:keepNext w:val="0"/>
        <w:keepLines w:val="0"/>
        <w:pageBreakBefore w:val="0"/>
        <w:kinsoku/>
        <w:wordWrap/>
        <w:overflowPunct/>
        <w:topLinePunct w:val="0"/>
        <w:autoSpaceDE/>
        <w:autoSpaceDN/>
        <w:bidi w:val="0"/>
        <w:spacing w:line="560" w:lineRule="exact"/>
        <w:ind w:firstLine="480" w:firstLineChars="150"/>
        <w:jc w:val="both"/>
        <w:textAlignment w:val="auto"/>
        <w:rPr>
          <w:rFonts w:hint="eastAsia" w:ascii="仿宋_GB2312" w:eastAsia="仿宋_GB2312"/>
          <w:b w:val="0"/>
          <w:bCs/>
          <w:sz w:val="32"/>
          <w:szCs w:val="32"/>
          <w:lang w:val="zh-CN"/>
        </w:rPr>
      </w:pPr>
      <w:r>
        <w:rPr>
          <w:rFonts w:hint="eastAsia" w:ascii="仿宋_GB2312" w:eastAsia="仿宋_GB2312"/>
          <w:b w:val="0"/>
          <w:bCs/>
          <w:sz w:val="32"/>
          <w:szCs w:val="32"/>
          <w:lang w:val="zh-CN"/>
        </w:rPr>
        <w:t>4</w:t>
      </w:r>
      <w:r>
        <w:rPr>
          <w:rFonts w:hint="eastAsia" w:ascii="仿宋_GB2312" w:eastAsia="仿宋_GB2312"/>
          <w:b w:val="0"/>
          <w:bCs/>
          <w:sz w:val="32"/>
          <w:szCs w:val="32"/>
          <w:lang w:val="en-US" w:eastAsia="zh-CN"/>
        </w:rPr>
        <w:t>.</w:t>
      </w:r>
      <w:r>
        <w:rPr>
          <w:rFonts w:hint="eastAsia" w:ascii="仿宋_GB2312" w:eastAsia="仿宋_GB2312"/>
          <w:b w:val="0"/>
          <w:bCs/>
          <w:sz w:val="32"/>
          <w:szCs w:val="32"/>
          <w:lang w:val="zh-CN"/>
        </w:rPr>
        <w:t>负责机关大院内公共基础设施的服务管理工作；</w:t>
      </w:r>
    </w:p>
    <w:p>
      <w:pPr>
        <w:keepNext w:val="0"/>
        <w:keepLines w:val="0"/>
        <w:pageBreakBefore w:val="0"/>
        <w:kinsoku/>
        <w:wordWrap/>
        <w:overflowPunct/>
        <w:topLinePunct w:val="0"/>
        <w:autoSpaceDE/>
        <w:autoSpaceDN/>
        <w:bidi w:val="0"/>
        <w:spacing w:line="560" w:lineRule="exact"/>
        <w:ind w:firstLine="480" w:firstLineChars="150"/>
        <w:jc w:val="both"/>
        <w:textAlignment w:val="auto"/>
        <w:rPr>
          <w:rFonts w:hint="eastAsia" w:ascii="仿宋_GB2312" w:eastAsia="仿宋_GB2312"/>
          <w:b w:val="0"/>
          <w:bCs/>
          <w:sz w:val="32"/>
          <w:szCs w:val="32"/>
          <w:lang w:val="zh-CN"/>
        </w:rPr>
      </w:pPr>
      <w:r>
        <w:rPr>
          <w:rFonts w:hint="eastAsia" w:ascii="仿宋_GB2312" w:eastAsia="仿宋_GB2312"/>
          <w:b w:val="0"/>
          <w:bCs/>
          <w:sz w:val="32"/>
          <w:szCs w:val="32"/>
          <w:lang w:val="zh-CN"/>
        </w:rPr>
        <w:t>5</w:t>
      </w:r>
      <w:r>
        <w:rPr>
          <w:rFonts w:hint="eastAsia" w:ascii="仿宋_GB2312" w:eastAsia="仿宋_GB2312"/>
          <w:b w:val="0"/>
          <w:bCs/>
          <w:sz w:val="32"/>
          <w:szCs w:val="32"/>
          <w:lang w:val="en-US" w:eastAsia="zh-CN"/>
        </w:rPr>
        <w:t>.</w:t>
      </w:r>
      <w:r>
        <w:rPr>
          <w:rFonts w:hint="eastAsia" w:ascii="仿宋_GB2312" w:eastAsia="仿宋_GB2312"/>
          <w:b w:val="0"/>
          <w:bCs/>
          <w:sz w:val="32"/>
          <w:szCs w:val="32"/>
          <w:lang w:val="zh-CN"/>
        </w:rPr>
        <w:t>承担政府办公室基本建设和物业管理工作；</w:t>
      </w:r>
    </w:p>
    <w:p>
      <w:pPr>
        <w:keepNext w:val="0"/>
        <w:keepLines w:val="0"/>
        <w:pageBreakBefore w:val="0"/>
        <w:kinsoku/>
        <w:wordWrap/>
        <w:overflowPunct/>
        <w:topLinePunct w:val="0"/>
        <w:autoSpaceDE/>
        <w:autoSpaceDN/>
        <w:bidi w:val="0"/>
        <w:spacing w:line="560" w:lineRule="exact"/>
        <w:ind w:firstLine="480" w:firstLineChars="150"/>
        <w:jc w:val="both"/>
        <w:textAlignment w:val="auto"/>
        <w:rPr>
          <w:rFonts w:hint="eastAsia" w:ascii="仿宋_GB2312" w:eastAsia="仿宋_GB2312"/>
          <w:b w:val="0"/>
          <w:bCs/>
          <w:sz w:val="32"/>
          <w:szCs w:val="32"/>
          <w:lang w:val="zh-CN"/>
        </w:rPr>
      </w:pPr>
      <w:r>
        <w:rPr>
          <w:rFonts w:hint="eastAsia" w:ascii="仿宋_GB2312" w:eastAsia="仿宋_GB2312"/>
          <w:b w:val="0"/>
          <w:bCs/>
          <w:sz w:val="32"/>
          <w:szCs w:val="32"/>
          <w:lang w:val="zh-CN"/>
        </w:rPr>
        <w:t>6</w:t>
      </w:r>
      <w:r>
        <w:rPr>
          <w:rFonts w:hint="eastAsia" w:ascii="仿宋_GB2312" w:eastAsia="仿宋_GB2312"/>
          <w:b w:val="0"/>
          <w:bCs/>
          <w:sz w:val="32"/>
          <w:szCs w:val="32"/>
          <w:lang w:val="en-US" w:eastAsia="zh-CN"/>
        </w:rPr>
        <w:t>.</w:t>
      </w:r>
      <w:r>
        <w:rPr>
          <w:rFonts w:hint="eastAsia" w:ascii="仿宋_GB2312" w:eastAsia="仿宋_GB2312"/>
          <w:b w:val="0"/>
          <w:bCs/>
          <w:sz w:val="32"/>
          <w:szCs w:val="32"/>
          <w:lang w:val="zh-CN"/>
        </w:rPr>
        <w:t>负责县级干部办公室的卫生、供水、办公用品配备、花草管理等工作；</w:t>
      </w:r>
    </w:p>
    <w:p>
      <w:pPr>
        <w:keepNext w:val="0"/>
        <w:keepLines w:val="0"/>
        <w:pageBreakBefore w:val="0"/>
        <w:kinsoku/>
        <w:wordWrap/>
        <w:overflowPunct/>
        <w:topLinePunct w:val="0"/>
        <w:autoSpaceDE/>
        <w:autoSpaceDN/>
        <w:bidi w:val="0"/>
        <w:spacing w:line="560" w:lineRule="exact"/>
        <w:ind w:firstLine="480" w:firstLineChars="150"/>
        <w:jc w:val="both"/>
        <w:textAlignment w:val="auto"/>
        <w:rPr>
          <w:rFonts w:hint="eastAsia" w:ascii="仿宋_GB2312" w:eastAsia="仿宋_GB2312"/>
          <w:b w:val="0"/>
          <w:bCs/>
          <w:sz w:val="32"/>
          <w:szCs w:val="32"/>
          <w:lang w:val="zh-CN"/>
        </w:rPr>
      </w:pPr>
      <w:r>
        <w:rPr>
          <w:rFonts w:hint="eastAsia" w:ascii="仿宋_GB2312" w:eastAsia="仿宋_GB2312"/>
          <w:b w:val="0"/>
          <w:bCs/>
          <w:sz w:val="32"/>
          <w:szCs w:val="32"/>
          <w:lang w:val="zh-CN"/>
        </w:rPr>
        <w:t>7</w:t>
      </w:r>
      <w:r>
        <w:rPr>
          <w:rFonts w:hint="eastAsia" w:ascii="仿宋_GB2312" w:eastAsia="仿宋_GB2312"/>
          <w:b w:val="0"/>
          <w:bCs/>
          <w:sz w:val="32"/>
          <w:szCs w:val="32"/>
          <w:lang w:val="en-US" w:eastAsia="zh-CN"/>
        </w:rPr>
        <w:t>.</w:t>
      </w:r>
      <w:r>
        <w:rPr>
          <w:rFonts w:hint="eastAsia" w:ascii="仿宋_GB2312" w:eastAsia="仿宋_GB2312"/>
          <w:b w:val="0"/>
          <w:bCs/>
          <w:sz w:val="32"/>
          <w:szCs w:val="32"/>
          <w:lang w:val="zh-CN"/>
        </w:rPr>
        <w:t>负责县级干部办公室和各单位报刊配送工作；</w:t>
      </w:r>
    </w:p>
    <w:p>
      <w:pPr>
        <w:keepNext w:val="0"/>
        <w:keepLines w:val="0"/>
        <w:pageBreakBefore w:val="0"/>
        <w:kinsoku/>
        <w:wordWrap/>
        <w:overflowPunct/>
        <w:topLinePunct w:val="0"/>
        <w:autoSpaceDE/>
        <w:autoSpaceDN/>
        <w:bidi w:val="0"/>
        <w:spacing w:line="560" w:lineRule="exact"/>
        <w:ind w:firstLine="480" w:firstLineChars="150"/>
        <w:jc w:val="both"/>
        <w:textAlignment w:val="auto"/>
        <w:rPr>
          <w:rFonts w:hint="eastAsia" w:ascii="仿宋_GB2312" w:eastAsia="仿宋_GB2312"/>
          <w:b w:val="0"/>
          <w:bCs/>
          <w:sz w:val="32"/>
          <w:szCs w:val="32"/>
          <w:lang w:val="zh-CN"/>
        </w:rPr>
      </w:pPr>
      <w:r>
        <w:rPr>
          <w:rFonts w:hint="eastAsia" w:ascii="仿宋_GB2312" w:eastAsia="仿宋_GB2312"/>
          <w:b w:val="0"/>
          <w:bCs/>
          <w:sz w:val="32"/>
          <w:szCs w:val="32"/>
          <w:lang w:val="zh-CN"/>
        </w:rPr>
        <w:t>8</w:t>
      </w:r>
      <w:r>
        <w:rPr>
          <w:rFonts w:hint="eastAsia" w:ascii="仿宋_GB2312" w:eastAsia="仿宋_GB2312"/>
          <w:b w:val="0"/>
          <w:bCs/>
          <w:sz w:val="32"/>
          <w:szCs w:val="32"/>
          <w:lang w:val="en-US" w:eastAsia="zh-CN"/>
        </w:rPr>
        <w:t>.</w:t>
      </w:r>
      <w:r>
        <w:rPr>
          <w:rFonts w:hint="eastAsia" w:ascii="仿宋_GB2312" w:eastAsia="仿宋_GB2312"/>
          <w:b w:val="0"/>
          <w:bCs/>
          <w:sz w:val="32"/>
          <w:szCs w:val="32"/>
          <w:lang w:val="zh-CN"/>
        </w:rPr>
        <w:t>联系接待用车；</w:t>
      </w:r>
    </w:p>
    <w:p>
      <w:pPr>
        <w:keepNext w:val="0"/>
        <w:keepLines w:val="0"/>
        <w:pageBreakBefore w:val="0"/>
        <w:kinsoku/>
        <w:wordWrap/>
        <w:overflowPunct/>
        <w:topLinePunct w:val="0"/>
        <w:autoSpaceDE/>
        <w:autoSpaceDN/>
        <w:bidi w:val="0"/>
        <w:spacing w:line="560" w:lineRule="exact"/>
        <w:ind w:firstLine="480" w:firstLineChars="150"/>
        <w:jc w:val="both"/>
        <w:textAlignment w:val="auto"/>
        <w:rPr>
          <w:rFonts w:hint="eastAsia" w:ascii="仿宋_GB2312" w:eastAsia="仿宋_GB2312"/>
          <w:b w:val="0"/>
          <w:bCs/>
          <w:sz w:val="32"/>
          <w:szCs w:val="32"/>
          <w:lang w:val="zh-CN"/>
        </w:rPr>
      </w:pPr>
      <w:r>
        <w:rPr>
          <w:rFonts w:hint="eastAsia" w:ascii="仿宋_GB2312" w:eastAsia="仿宋_GB2312"/>
          <w:b w:val="0"/>
          <w:bCs/>
          <w:sz w:val="32"/>
          <w:szCs w:val="32"/>
          <w:lang w:val="zh-CN"/>
        </w:rPr>
        <w:t>9</w:t>
      </w:r>
      <w:r>
        <w:rPr>
          <w:rFonts w:hint="eastAsia" w:ascii="仿宋_GB2312" w:eastAsia="仿宋_GB2312"/>
          <w:b w:val="0"/>
          <w:bCs/>
          <w:sz w:val="32"/>
          <w:szCs w:val="32"/>
          <w:lang w:val="en-US" w:eastAsia="zh-CN"/>
        </w:rPr>
        <w:t>.</w:t>
      </w:r>
      <w:r>
        <w:rPr>
          <w:rFonts w:hint="eastAsia" w:ascii="仿宋_GB2312" w:eastAsia="仿宋_GB2312"/>
          <w:b w:val="0"/>
          <w:bCs/>
          <w:sz w:val="32"/>
          <w:szCs w:val="32"/>
          <w:lang w:val="zh-CN"/>
        </w:rPr>
        <w:t>负责本县四大班子的接待工作，协调政府各部门的接待工作；</w:t>
      </w:r>
    </w:p>
    <w:p>
      <w:pPr>
        <w:keepNext w:val="0"/>
        <w:keepLines w:val="0"/>
        <w:pageBreakBefore w:val="0"/>
        <w:kinsoku/>
        <w:wordWrap/>
        <w:overflowPunct/>
        <w:topLinePunct w:val="0"/>
        <w:autoSpaceDE/>
        <w:autoSpaceDN/>
        <w:bidi w:val="0"/>
        <w:spacing w:line="560" w:lineRule="exact"/>
        <w:ind w:firstLine="480" w:firstLineChars="150"/>
        <w:jc w:val="both"/>
        <w:textAlignment w:val="auto"/>
        <w:rPr>
          <w:rFonts w:hint="eastAsia" w:ascii="仿宋_GB2312" w:eastAsia="仿宋_GB2312"/>
          <w:b w:val="0"/>
          <w:bCs/>
          <w:sz w:val="32"/>
          <w:szCs w:val="32"/>
          <w:lang w:val="zh-CN"/>
        </w:rPr>
      </w:pPr>
      <w:r>
        <w:rPr>
          <w:rFonts w:hint="eastAsia" w:ascii="仿宋_GB2312" w:eastAsia="仿宋_GB2312"/>
          <w:b w:val="0"/>
          <w:bCs/>
          <w:sz w:val="32"/>
          <w:szCs w:val="32"/>
          <w:lang w:val="zh-CN"/>
        </w:rPr>
        <w:t>10</w:t>
      </w:r>
      <w:r>
        <w:rPr>
          <w:rFonts w:hint="eastAsia" w:ascii="仿宋_GB2312" w:eastAsia="仿宋_GB2312"/>
          <w:b w:val="0"/>
          <w:bCs/>
          <w:sz w:val="32"/>
          <w:szCs w:val="32"/>
          <w:lang w:val="en-US" w:eastAsia="zh-CN"/>
        </w:rPr>
        <w:t>.</w:t>
      </w:r>
      <w:r>
        <w:rPr>
          <w:rFonts w:hint="eastAsia" w:ascii="仿宋_GB2312" w:eastAsia="仿宋_GB2312"/>
          <w:b w:val="0"/>
          <w:bCs/>
          <w:sz w:val="32"/>
          <w:szCs w:val="32"/>
          <w:lang w:val="zh-CN"/>
        </w:rPr>
        <w:t>负责县直机关办公用房的调配以及机关大院内的维护和修缮工作；</w:t>
      </w:r>
    </w:p>
    <w:p>
      <w:pPr>
        <w:keepNext w:val="0"/>
        <w:keepLines w:val="0"/>
        <w:pageBreakBefore w:val="0"/>
        <w:kinsoku/>
        <w:wordWrap/>
        <w:overflowPunct/>
        <w:topLinePunct w:val="0"/>
        <w:autoSpaceDE/>
        <w:autoSpaceDN/>
        <w:bidi w:val="0"/>
        <w:spacing w:line="560" w:lineRule="exact"/>
        <w:ind w:firstLine="480" w:firstLineChars="150"/>
        <w:jc w:val="both"/>
        <w:textAlignment w:val="auto"/>
        <w:rPr>
          <w:rFonts w:hint="eastAsia" w:ascii="仿宋_GB2312" w:eastAsia="仿宋_GB2312"/>
          <w:b w:val="0"/>
          <w:bCs/>
          <w:sz w:val="32"/>
          <w:szCs w:val="32"/>
          <w:lang w:val="zh-CN"/>
        </w:rPr>
      </w:pPr>
      <w:r>
        <w:rPr>
          <w:rFonts w:hint="eastAsia" w:ascii="仿宋_GB2312" w:eastAsia="仿宋_GB2312"/>
          <w:b w:val="0"/>
          <w:bCs/>
          <w:sz w:val="32"/>
          <w:szCs w:val="32"/>
          <w:lang w:val="zh-CN"/>
        </w:rPr>
        <w:t>11</w:t>
      </w:r>
      <w:r>
        <w:rPr>
          <w:rFonts w:hint="eastAsia" w:ascii="仿宋_GB2312" w:eastAsia="仿宋_GB2312"/>
          <w:b w:val="0"/>
          <w:bCs/>
          <w:sz w:val="32"/>
          <w:szCs w:val="32"/>
          <w:lang w:val="en-US" w:eastAsia="zh-CN"/>
        </w:rPr>
        <w:t>.</w:t>
      </w:r>
      <w:r>
        <w:rPr>
          <w:rFonts w:hint="eastAsia" w:ascii="仿宋_GB2312" w:eastAsia="仿宋_GB2312"/>
          <w:b w:val="0"/>
          <w:bCs/>
          <w:sz w:val="32"/>
          <w:szCs w:val="32"/>
          <w:lang w:val="zh-CN"/>
        </w:rPr>
        <w:t>配合相关部门，除公、检、法、县中小学外，对县直其他部门进行周转房、廉租房的分配工作；</w:t>
      </w:r>
    </w:p>
    <w:p>
      <w:pPr>
        <w:keepNext w:val="0"/>
        <w:keepLines w:val="0"/>
        <w:pageBreakBefore w:val="0"/>
        <w:kinsoku/>
        <w:wordWrap/>
        <w:overflowPunct/>
        <w:topLinePunct w:val="0"/>
        <w:autoSpaceDE/>
        <w:autoSpaceDN/>
        <w:bidi w:val="0"/>
        <w:spacing w:line="560" w:lineRule="exact"/>
        <w:ind w:firstLine="480" w:firstLineChars="150"/>
        <w:jc w:val="both"/>
        <w:textAlignment w:val="auto"/>
        <w:rPr>
          <w:rFonts w:hint="eastAsia" w:ascii="仿宋_GB2312" w:eastAsia="仿宋_GB2312"/>
          <w:b w:val="0"/>
          <w:bCs/>
          <w:sz w:val="32"/>
          <w:szCs w:val="32"/>
          <w:lang w:val="zh-CN"/>
        </w:rPr>
      </w:pPr>
      <w:r>
        <w:rPr>
          <w:rFonts w:hint="eastAsia" w:ascii="仿宋_GB2312" w:eastAsia="仿宋_GB2312"/>
          <w:b w:val="0"/>
          <w:bCs/>
          <w:sz w:val="32"/>
          <w:szCs w:val="32"/>
          <w:lang w:val="zh-CN"/>
        </w:rPr>
        <w:t>12</w:t>
      </w:r>
      <w:r>
        <w:rPr>
          <w:rFonts w:hint="eastAsia" w:ascii="仿宋_GB2312" w:eastAsia="仿宋_GB2312"/>
          <w:b w:val="0"/>
          <w:bCs/>
          <w:sz w:val="32"/>
          <w:szCs w:val="32"/>
          <w:lang w:val="en-US" w:eastAsia="zh-CN"/>
        </w:rPr>
        <w:t>.</w:t>
      </w:r>
      <w:r>
        <w:rPr>
          <w:rFonts w:hint="eastAsia" w:ascii="仿宋_GB2312" w:eastAsia="仿宋_GB2312"/>
          <w:b w:val="0"/>
          <w:bCs/>
          <w:sz w:val="32"/>
          <w:szCs w:val="32"/>
          <w:lang w:val="zh-CN"/>
        </w:rPr>
        <w:t>负责县机关大院内周转房的维护、维修工作；</w:t>
      </w:r>
    </w:p>
    <w:p>
      <w:pPr>
        <w:keepNext w:val="0"/>
        <w:keepLines w:val="0"/>
        <w:pageBreakBefore w:val="0"/>
        <w:kinsoku/>
        <w:wordWrap/>
        <w:overflowPunct/>
        <w:topLinePunct w:val="0"/>
        <w:autoSpaceDE/>
        <w:autoSpaceDN/>
        <w:bidi w:val="0"/>
        <w:spacing w:line="560" w:lineRule="exact"/>
        <w:ind w:firstLine="480" w:firstLineChars="150"/>
        <w:jc w:val="both"/>
        <w:textAlignment w:val="auto"/>
        <w:rPr>
          <w:rFonts w:hint="eastAsia" w:ascii="仿宋_GB2312" w:eastAsia="仿宋_GB2312"/>
          <w:b w:val="0"/>
          <w:bCs/>
          <w:sz w:val="32"/>
          <w:szCs w:val="32"/>
          <w:lang w:val="zh-CN"/>
        </w:rPr>
      </w:pPr>
      <w:r>
        <w:rPr>
          <w:rFonts w:hint="eastAsia" w:ascii="仿宋_GB2312" w:eastAsia="仿宋_GB2312"/>
          <w:b w:val="0"/>
          <w:bCs/>
          <w:sz w:val="32"/>
          <w:szCs w:val="32"/>
          <w:lang w:val="zh-CN"/>
        </w:rPr>
        <w:t>13</w:t>
      </w:r>
      <w:r>
        <w:rPr>
          <w:rFonts w:hint="eastAsia" w:ascii="仿宋_GB2312" w:eastAsia="仿宋_GB2312"/>
          <w:b w:val="0"/>
          <w:bCs/>
          <w:sz w:val="32"/>
          <w:szCs w:val="32"/>
          <w:lang w:val="en-US" w:eastAsia="zh-CN"/>
        </w:rPr>
        <w:t>.</w:t>
      </w:r>
      <w:r>
        <w:rPr>
          <w:rFonts w:hint="eastAsia" w:ascii="仿宋_GB2312" w:eastAsia="仿宋_GB2312"/>
          <w:b w:val="0"/>
          <w:bCs/>
          <w:sz w:val="32"/>
          <w:szCs w:val="32"/>
          <w:lang w:val="zh-CN"/>
        </w:rPr>
        <w:t>负责机关大院环境卫生、绿化、美化工作；</w:t>
      </w:r>
    </w:p>
    <w:p>
      <w:pPr>
        <w:keepNext w:val="0"/>
        <w:keepLines w:val="0"/>
        <w:pageBreakBefore w:val="0"/>
        <w:kinsoku/>
        <w:wordWrap/>
        <w:overflowPunct/>
        <w:topLinePunct w:val="0"/>
        <w:autoSpaceDE/>
        <w:autoSpaceDN/>
        <w:bidi w:val="0"/>
        <w:spacing w:line="560" w:lineRule="exact"/>
        <w:ind w:firstLine="480" w:firstLineChars="150"/>
        <w:jc w:val="both"/>
        <w:textAlignment w:val="auto"/>
        <w:rPr>
          <w:rFonts w:hint="eastAsia" w:ascii="仿宋_GB2312" w:eastAsia="仿宋_GB2312"/>
          <w:b w:val="0"/>
          <w:bCs/>
          <w:sz w:val="32"/>
          <w:szCs w:val="32"/>
          <w:lang w:val="zh-CN"/>
        </w:rPr>
      </w:pPr>
      <w:r>
        <w:rPr>
          <w:rFonts w:hint="eastAsia" w:ascii="仿宋_GB2312" w:eastAsia="仿宋_GB2312"/>
          <w:b w:val="0"/>
          <w:bCs/>
          <w:sz w:val="32"/>
          <w:szCs w:val="32"/>
          <w:lang w:val="zh-CN"/>
        </w:rPr>
        <w:t>14</w:t>
      </w:r>
      <w:r>
        <w:rPr>
          <w:rFonts w:hint="eastAsia" w:ascii="仿宋_GB2312" w:eastAsia="仿宋_GB2312"/>
          <w:b w:val="0"/>
          <w:bCs/>
          <w:sz w:val="32"/>
          <w:szCs w:val="32"/>
          <w:lang w:val="en-US" w:eastAsia="zh-CN"/>
        </w:rPr>
        <w:t>.</w:t>
      </w:r>
      <w:r>
        <w:rPr>
          <w:rFonts w:hint="eastAsia" w:ascii="仿宋_GB2312" w:eastAsia="仿宋_GB2312"/>
          <w:b w:val="0"/>
          <w:bCs/>
          <w:sz w:val="32"/>
          <w:szCs w:val="32"/>
          <w:lang w:val="zh-CN"/>
        </w:rPr>
        <w:t>负责县委主要领导（含常务副书记）、县政府领导用车调配及管理，机关大院内车辆停放工作；</w:t>
      </w:r>
    </w:p>
    <w:p>
      <w:pPr>
        <w:keepNext w:val="0"/>
        <w:keepLines w:val="0"/>
        <w:pageBreakBefore w:val="0"/>
        <w:kinsoku/>
        <w:wordWrap/>
        <w:overflowPunct/>
        <w:topLinePunct w:val="0"/>
        <w:autoSpaceDE/>
        <w:autoSpaceDN/>
        <w:bidi w:val="0"/>
        <w:spacing w:line="560" w:lineRule="exact"/>
        <w:ind w:firstLine="480" w:firstLineChars="150"/>
        <w:jc w:val="both"/>
        <w:textAlignment w:val="auto"/>
        <w:rPr>
          <w:rFonts w:hint="eastAsia" w:ascii="仿宋_GB2312" w:eastAsia="仿宋_GB2312"/>
          <w:b w:val="0"/>
          <w:bCs/>
          <w:sz w:val="32"/>
          <w:szCs w:val="32"/>
          <w:lang w:val="zh-CN"/>
        </w:rPr>
      </w:pPr>
      <w:r>
        <w:rPr>
          <w:rFonts w:hint="eastAsia" w:ascii="仿宋_GB2312" w:eastAsia="仿宋_GB2312"/>
          <w:b w:val="0"/>
          <w:bCs/>
          <w:sz w:val="32"/>
          <w:szCs w:val="32"/>
          <w:lang w:val="zh-CN"/>
        </w:rPr>
        <w:t>15</w:t>
      </w:r>
      <w:r>
        <w:rPr>
          <w:rFonts w:hint="eastAsia" w:ascii="仿宋_GB2312" w:eastAsia="仿宋_GB2312"/>
          <w:b w:val="0"/>
          <w:bCs/>
          <w:sz w:val="32"/>
          <w:szCs w:val="32"/>
          <w:lang w:val="en-US" w:eastAsia="zh-CN"/>
        </w:rPr>
        <w:t>.</w:t>
      </w:r>
      <w:r>
        <w:rPr>
          <w:rFonts w:hint="eastAsia" w:ascii="仿宋_GB2312" w:eastAsia="仿宋_GB2312"/>
          <w:b w:val="0"/>
          <w:bCs/>
          <w:sz w:val="32"/>
          <w:szCs w:val="32"/>
          <w:lang w:val="zh-CN"/>
        </w:rPr>
        <w:t>负责机关食堂的日常管理工作；</w:t>
      </w:r>
    </w:p>
    <w:p>
      <w:pPr>
        <w:keepNext w:val="0"/>
        <w:keepLines w:val="0"/>
        <w:pageBreakBefore w:val="0"/>
        <w:kinsoku/>
        <w:wordWrap/>
        <w:overflowPunct/>
        <w:topLinePunct w:val="0"/>
        <w:autoSpaceDE/>
        <w:autoSpaceDN/>
        <w:bidi w:val="0"/>
        <w:spacing w:line="560" w:lineRule="exact"/>
        <w:ind w:firstLine="480" w:firstLineChars="150"/>
        <w:jc w:val="both"/>
        <w:textAlignment w:val="auto"/>
        <w:rPr>
          <w:rFonts w:hint="eastAsia" w:ascii="仿宋_GB2312" w:eastAsia="仿宋_GB2312"/>
          <w:b w:val="0"/>
          <w:bCs/>
          <w:sz w:val="32"/>
          <w:szCs w:val="32"/>
          <w:lang w:val="zh-CN"/>
        </w:rPr>
      </w:pPr>
      <w:r>
        <w:rPr>
          <w:rFonts w:hint="eastAsia" w:ascii="仿宋_GB2312" w:eastAsia="仿宋_GB2312"/>
          <w:b w:val="0"/>
          <w:bCs/>
          <w:sz w:val="32"/>
          <w:szCs w:val="32"/>
          <w:lang w:val="zh-CN"/>
        </w:rPr>
        <w:t>16</w:t>
      </w:r>
      <w:r>
        <w:rPr>
          <w:rFonts w:hint="eastAsia" w:ascii="仿宋_GB2312" w:eastAsia="仿宋_GB2312"/>
          <w:b w:val="0"/>
          <w:bCs/>
          <w:sz w:val="32"/>
          <w:szCs w:val="32"/>
          <w:lang w:val="en-US" w:eastAsia="zh-CN"/>
        </w:rPr>
        <w:t>.</w:t>
      </w:r>
      <w:r>
        <w:rPr>
          <w:rFonts w:hint="eastAsia" w:ascii="仿宋_GB2312" w:eastAsia="仿宋_GB2312"/>
          <w:b w:val="0"/>
          <w:bCs/>
          <w:sz w:val="32"/>
          <w:szCs w:val="32"/>
          <w:lang w:val="zh-CN"/>
        </w:rPr>
        <w:t>负责机关大院的不动资产管理工作；</w:t>
      </w:r>
    </w:p>
    <w:p>
      <w:pPr>
        <w:keepNext w:val="0"/>
        <w:keepLines w:val="0"/>
        <w:pageBreakBefore w:val="0"/>
        <w:kinsoku/>
        <w:wordWrap/>
        <w:overflowPunct/>
        <w:topLinePunct w:val="0"/>
        <w:autoSpaceDE/>
        <w:autoSpaceDN/>
        <w:bidi w:val="0"/>
        <w:spacing w:line="560" w:lineRule="exact"/>
        <w:ind w:firstLine="480" w:firstLineChars="150"/>
        <w:jc w:val="both"/>
        <w:textAlignment w:val="auto"/>
        <w:rPr>
          <w:rFonts w:hint="eastAsia" w:ascii="仿宋_GB2312" w:eastAsia="仿宋_GB2312"/>
          <w:b w:val="0"/>
          <w:bCs/>
          <w:sz w:val="32"/>
          <w:szCs w:val="32"/>
          <w:lang w:val="zh-CN"/>
        </w:rPr>
      </w:pPr>
      <w:r>
        <w:rPr>
          <w:rFonts w:hint="eastAsia" w:ascii="仿宋_GB2312" w:eastAsia="仿宋_GB2312"/>
          <w:b w:val="0"/>
          <w:bCs/>
          <w:sz w:val="32"/>
          <w:szCs w:val="32"/>
          <w:lang w:val="zh-CN"/>
        </w:rPr>
        <w:t>17</w:t>
      </w:r>
      <w:r>
        <w:rPr>
          <w:rFonts w:hint="eastAsia" w:ascii="仿宋_GB2312" w:eastAsia="仿宋_GB2312"/>
          <w:b w:val="0"/>
          <w:bCs/>
          <w:sz w:val="32"/>
          <w:szCs w:val="32"/>
          <w:lang w:val="en-US" w:eastAsia="zh-CN"/>
        </w:rPr>
        <w:t>.</w:t>
      </w:r>
      <w:r>
        <w:rPr>
          <w:rFonts w:hint="eastAsia" w:ascii="仿宋_GB2312" w:eastAsia="仿宋_GB2312"/>
          <w:b w:val="0"/>
          <w:bCs/>
          <w:sz w:val="32"/>
          <w:szCs w:val="32"/>
          <w:lang w:val="zh-CN"/>
        </w:rPr>
        <w:t>负责机关大院节假日亮化、装饰工作和大型活动筹备服务工作；</w:t>
      </w:r>
    </w:p>
    <w:p>
      <w:pPr>
        <w:keepNext w:val="0"/>
        <w:keepLines w:val="0"/>
        <w:pageBreakBefore w:val="0"/>
        <w:kinsoku/>
        <w:wordWrap/>
        <w:overflowPunct/>
        <w:topLinePunct w:val="0"/>
        <w:autoSpaceDE/>
        <w:autoSpaceDN/>
        <w:bidi w:val="0"/>
        <w:spacing w:line="560" w:lineRule="exact"/>
        <w:ind w:firstLine="480" w:firstLineChars="150"/>
        <w:jc w:val="both"/>
        <w:textAlignment w:val="auto"/>
        <w:rPr>
          <w:rFonts w:hint="eastAsia" w:ascii="仿宋_GB2312" w:eastAsia="仿宋_GB2312"/>
          <w:b w:val="0"/>
          <w:bCs/>
          <w:sz w:val="32"/>
          <w:szCs w:val="32"/>
          <w:lang w:val="zh-CN"/>
        </w:rPr>
      </w:pPr>
      <w:r>
        <w:rPr>
          <w:rFonts w:hint="eastAsia" w:ascii="仿宋_GB2312" w:eastAsia="仿宋_GB2312"/>
          <w:b w:val="0"/>
          <w:bCs/>
          <w:sz w:val="32"/>
          <w:szCs w:val="32"/>
          <w:lang w:val="zh-CN"/>
        </w:rPr>
        <w:t>18</w:t>
      </w:r>
      <w:r>
        <w:rPr>
          <w:rFonts w:hint="eastAsia" w:ascii="仿宋_GB2312" w:eastAsia="仿宋_GB2312"/>
          <w:b w:val="0"/>
          <w:bCs/>
          <w:sz w:val="32"/>
          <w:szCs w:val="32"/>
          <w:lang w:val="en-US" w:eastAsia="zh-CN"/>
        </w:rPr>
        <w:t>.</w:t>
      </w:r>
      <w:r>
        <w:rPr>
          <w:rFonts w:hint="eastAsia" w:ascii="仿宋_GB2312" w:eastAsia="仿宋_GB2312"/>
          <w:b w:val="0"/>
          <w:bCs/>
          <w:sz w:val="32"/>
          <w:szCs w:val="32"/>
          <w:lang w:val="zh-CN"/>
        </w:rPr>
        <w:t>负责县直机关车辆定点加油、定点维修工作；</w:t>
      </w:r>
    </w:p>
    <w:p>
      <w:pPr>
        <w:keepNext w:val="0"/>
        <w:keepLines w:val="0"/>
        <w:pageBreakBefore w:val="0"/>
        <w:kinsoku/>
        <w:wordWrap/>
        <w:overflowPunct/>
        <w:topLinePunct w:val="0"/>
        <w:autoSpaceDE/>
        <w:autoSpaceDN/>
        <w:bidi w:val="0"/>
        <w:spacing w:line="560" w:lineRule="exact"/>
        <w:ind w:firstLine="480" w:firstLineChars="150"/>
        <w:jc w:val="both"/>
        <w:textAlignment w:val="auto"/>
        <w:rPr>
          <w:rFonts w:hint="eastAsia" w:ascii="仿宋_GB2312" w:eastAsia="仿宋_GB2312"/>
          <w:b w:val="0"/>
          <w:bCs/>
          <w:sz w:val="32"/>
          <w:szCs w:val="32"/>
          <w:lang w:val="zh-CN"/>
        </w:rPr>
      </w:pPr>
      <w:r>
        <w:rPr>
          <w:rFonts w:hint="eastAsia" w:ascii="仿宋_GB2312" w:eastAsia="仿宋_GB2312"/>
          <w:b w:val="0"/>
          <w:bCs/>
          <w:sz w:val="32"/>
          <w:szCs w:val="32"/>
          <w:lang w:val="zh-CN"/>
        </w:rPr>
        <w:t>19</w:t>
      </w:r>
      <w:r>
        <w:rPr>
          <w:rFonts w:hint="eastAsia" w:ascii="仿宋_GB2312" w:eastAsia="仿宋_GB2312"/>
          <w:b w:val="0"/>
          <w:bCs/>
          <w:sz w:val="32"/>
          <w:szCs w:val="32"/>
          <w:lang w:val="en-US" w:eastAsia="zh-CN"/>
        </w:rPr>
        <w:t>.</w:t>
      </w:r>
      <w:r>
        <w:rPr>
          <w:rFonts w:hint="eastAsia" w:ascii="仿宋_GB2312" w:eastAsia="仿宋_GB2312"/>
          <w:b w:val="0"/>
          <w:bCs/>
          <w:sz w:val="32"/>
          <w:szCs w:val="32"/>
          <w:lang w:val="zh-CN"/>
        </w:rPr>
        <w:t>负责接待四大班子领导接待的工作组、对口援藏的党政代表团以及综合性工作组的接待工作；</w:t>
      </w:r>
    </w:p>
    <w:p>
      <w:pPr>
        <w:keepNext w:val="0"/>
        <w:keepLines w:val="0"/>
        <w:pageBreakBefore w:val="0"/>
        <w:kinsoku/>
        <w:wordWrap/>
        <w:overflowPunct/>
        <w:topLinePunct w:val="0"/>
        <w:autoSpaceDE/>
        <w:autoSpaceDN/>
        <w:bidi w:val="0"/>
        <w:spacing w:line="560" w:lineRule="exact"/>
        <w:ind w:firstLine="480" w:firstLineChars="150"/>
        <w:jc w:val="both"/>
        <w:textAlignment w:val="auto"/>
        <w:rPr>
          <w:rFonts w:hint="eastAsia" w:ascii="仿宋_GB2312" w:eastAsia="仿宋_GB2312"/>
          <w:b w:val="0"/>
          <w:bCs/>
          <w:sz w:val="32"/>
          <w:szCs w:val="32"/>
        </w:rPr>
      </w:pPr>
      <w:r>
        <w:rPr>
          <w:rFonts w:hint="eastAsia" w:ascii="仿宋_GB2312" w:eastAsia="仿宋_GB2312"/>
          <w:b w:val="0"/>
          <w:bCs/>
          <w:sz w:val="32"/>
          <w:szCs w:val="32"/>
          <w:lang w:val="zh-CN"/>
        </w:rPr>
        <w:t>20</w:t>
      </w:r>
      <w:r>
        <w:rPr>
          <w:rFonts w:hint="eastAsia" w:ascii="仿宋_GB2312" w:eastAsia="仿宋_GB2312"/>
          <w:b w:val="0"/>
          <w:bCs/>
          <w:sz w:val="32"/>
          <w:szCs w:val="32"/>
          <w:lang w:val="en-US" w:eastAsia="zh-CN"/>
        </w:rPr>
        <w:t>.</w:t>
      </w:r>
      <w:r>
        <w:rPr>
          <w:rFonts w:hint="eastAsia" w:ascii="仿宋_GB2312" w:eastAsia="仿宋_GB2312"/>
          <w:b w:val="0"/>
          <w:bCs/>
          <w:sz w:val="32"/>
          <w:szCs w:val="32"/>
          <w:lang w:val="zh-CN"/>
        </w:rPr>
        <w:t>承办县委县政府交办的其他事项。</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hint="eastAsia" w:ascii="黑体" w:hAnsi="黑体" w:eastAsia="黑体" w:cs="黑体"/>
          <w:bCs/>
          <w:sz w:val="32"/>
          <w:szCs w:val="32"/>
        </w:rPr>
      </w:pPr>
      <w:r>
        <w:rPr>
          <w:rFonts w:hint="eastAsia" w:ascii="黑体" w:hAnsi="黑体" w:eastAsia="黑体" w:cs="黑体"/>
          <w:bCs/>
          <w:sz w:val="32"/>
          <w:szCs w:val="32"/>
        </w:rPr>
        <w:t xml:space="preserve">二、机构设置  </w:t>
      </w:r>
    </w:p>
    <w:p>
      <w:pPr>
        <w:keepNext w:val="0"/>
        <w:keepLines w:val="0"/>
        <w:pageBreakBefore w:val="0"/>
        <w:kinsoku/>
        <w:wordWrap/>
        <w:overflowPunct/>
        <w:topLinePunct w:val="0"/>
        <w:autoSpaceDE/>
        <w:autoSpaceDN/>
        <w:bidi w:val="0"/>
        <w:spacing w:line="560" w:lineRule="exact"/>
        <w:ind w:firstLine="480" w:firstLineChars="150"/>
        <w:jc w:val="both"/>
        <w:textAlignment w:val="auto"/>
        <w:rPr>
          <w:rFonts w:hint="eastAsia" w:ascii="仿宋_GB2312" w:eastAsia="仿宋_GB2312"/>
          <w:b w:val="0"/>
          <w:bCs/>
          <w:sz w:val="32"/>
          <w:szCs w:val="32"/>
        </w:rPr>
      </w:pPr>
      <w:r>
        <w:rPr>
          <w:rFonts w:hint="eastAsia" w:ascii="仿宋_GB2312" w:eastAsia="仿宋_GB2312"/>
          <w:b w:val="0"/>
          <w:bCs/>
          <w:sz w:val="32"/>
          <w:szCs w:val="32"/>
        </w:rPr>
        <w:t>察隅县政府后勤内设机构1个，即政府后勤。</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 w:eastAsia="仿宋_GB2312"/>
          <w:sz w:val="32"/>
          <w:szCs w:val="32"/>
        </w:rPr>
      </w:pPr>
    </w:p>
    <w:p>
      <w:pPr>
        <w:keepNext w:val="0"/>
        <w:keepLines w:val="0"/>
        <w:pageBreakBefore w:val="0"/>
        <w:kinsoku/>
        <w:wordWrap/>
        <w:overflowPunct/>
        <w:topLinePunct w:val="0"/>
        <w:autoSpaceDE/>
        <w:autoSpaceDN/>
        <w:bidi w:val="0"/>
        <w:spacing w:line="560" w:lineRule="exact"/>
        <w:jc w:val="both"/>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第二部分 察隅县政府后勤2021年度部门决算明细表（详见附表）</w:t>
      </w:r>
    </w:p>
    <w:p>
      <w:pPr>
        <w:keepNext w:val="0"/>
        <w:keepLines w:val="0"/>
        <w:pageBreakBefore w:val="0"/>
        <w:kinsoku/>
        <w:wordWrap/>
        <w:overflowPunct/>
        <w:topLinePunct w:val="0"/>
        <w:autoSpaceDE/>
        <w:autoSpaceDN/>
        <w:bidi w:val="0"/>
        <w:spacing w:line="560" w:lineRule="exact"/>
        <w:jc w:val="both"/>
        <w:textAlignment w:val="auto"/>
        <w:rPr>
          <w:rFonts w:ascii="黑体" w:hAnsi="仿宋_GB2312" w:eastAsia="黑体" w:cs="仿宋_GB2312"/>
          <w:sz w:val="32"/>
          <w:szCs w:val="32"/>
        </w:rPr>
      </w:pPr>
    </w:p>
    <w:p>
      <w:pPr>
        <w:pStyle w:val="8"/>
        <w:keepNext w:val="0"/>
        <w:keepLines w:val="0"/>
        <w:pageBreakBefore w:val="0"/>
        <w:kinsoku/>
        <w:wordWrap/>
        <w:overflowPunct/>
        <w:topLinePunct w:val="0"/>
        <w:autoSpaceDE/>
        <w:autoSpaceDN/>
        <w:bidi w:val="0"/>
        <w:spacing w:line="560" w:lineRule="exact"/>
        <w:ind w:left="2200" w:hanging="2200" w:hangingChars="500"/>
        <w:jc w:val="both"/>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第三部分 察隅县政府后勤2021年度部门决算情况说明</w:t>
      </w:r>
    </w:p>
    <w:p>
      <w:pPr>
        <w:keepNext w:val="0"/>
        <w:keepLines w:val="0"/>
        <w:pageBreakBefore w:val="0"/>
        <w:kinsoku/>
        <w:wordWrap/>
        <w:overflowPunct/>
        <w:topLinePunct w:val="0"/>
        <w:autoSpaceDE/>
        <w:autoSpaceDN/>
        <w:bidi w:val="0"/>
        <w:spacing w:line="560" w:lineRule="exact"/>
        <w:ind w:firstLine="482" w:firstLineChars="150"/>
        <w:jc w:val="both"/>
        <w:textAlignment w:val="auto"/>
        <w:rPr>
          <w:rFonts w:ascii="仿宋_GB2312" w:eastAsia="仿宋_GB2312"/>
          <w:b/>
          <w:sz w:val="32"/>
          <w:szCs w:val="32"/>
        </w:rPr>
      </w:pPr>
    </w:p>
    <w:p>
      <w:pPr>
        <w:keepNext w:val="0"/>
        <w:keepLines w:val="0"/>
        <w:pageBreakBefore w:val="0"/>
        <w:kinsoku/>
        <w:wordWrap/>
        <w:overflowPunct/>
        <w:topLinePunct w:val="0"/>
        <w:autoSpaceDE/>
        <w:autoSpaceDN/>
        <w:bidi w:val="0"/>
        <w:spacing w:line="560" w:lineRule="exact"/>
        <w:ind w:firstLine="643" w:firstLineChars="200"/>
        <w:jc w:val="both"/>
        <w:textAlignment w:val="auto"/>
        <w:rPr>
          <w:rFonts w:ascii="仿宋_GB2312" w:eastAsia="仿宋_GB2312"/>
          <w:b/>
          <w:sz w:val="32"/>
          <w:szCs w:val="32"/>
        </w:rPr>
      </w:pPr>
      <w:r>
        <w:rPr>
          <w:rFonts w:hint="eastAsia" w:ascii="仿宋_GB2312" w:eastAsia="仿宋_GB2312"/>
          <w:b/>
          <w:sz w:val="32"/>
          <w:szCs w:val="32"/>
        </w:rPr>
        <w:t>一、收入支出决算总体情况说明</w:t>
      </w:r>
    </w:p>
    <w:p>
      <w:pPr>
        <w:keepNext w:val="0"/>
        <w:keepLines w:val="0"/>
        <w:pageBreakBefore w:val="0"/>
        <w:kinsoku/>
        <w:wordWrap/>
        <w:overflowPunct/>
        <w:topLinePunct w:val="0"/>
        <w:autoSpaceDE/>
        <w:autoSpaceDN/>
        <w:bidi w:val="0"/>
        <w:spacing w:line="560" w:lineRule="exact"/>
        <w:jc w:val="both"/>
        <w:textAlignment w:val="auto"/>
        <w:rPr>
          <w:rFonts w:ascii="宋体" w:hAnsi="宋体" w:eastAsia="宋体" w:cs="Arial"/>
          <w:color w:val="000000"/>
          <w:kern w:val="0"/>
          <w:sz w:val="22"/>
          <w:highlight w:val="yellow"/>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2021年度收支决算总规模为1</w:t>
      </w:r>
      <w:r>
        <w:rPr>
          <w:rFonts w:hint="eastAsia" w:ascii="仿宋_GB2312" w:eastAsia="仿宋_GB2312"/>
          <w:sz w:val="32"/>
          <w:szCs w:val="32"/>
          <w:lang w:val="en-US" w:eastAsia="zh-CN"/>
        </w:rPr>
        <w:t>,</w:t>
      </w:r>
      <w:r>
        <w:rPr>
          <w:rFonts w:hint="eastAsia" w:ascii="仿宋_GB2312" w:eastAsia="仿宋_GB2312"/>
          <w:sz w:val="32"/>
          <w:szCs w:val="32"/>
        </w:rPr>
        <w:t>312.7万元，相比上年</w:t>
      </w:r>
      <w:r>
        <w:rPr>
          <w:rFonts w:hint="eastAsia" w:ascii="仿宋_GB2312" w:eastAsia="仿宋_GB2312"/>
          <w:sz w:val="32"/>
          <w:szCs w:val="32"/>
          <w:lang w:eastAsia="zh-CN"/>
        </w:rPr>
        <w:t>降低</w:t>
      </w:r>
      <w:r>
        <w:rPr>
          <w:rFonts w:hint="eastAsia" w:ascii="仿宋_GB2312" w:eastAsia="仿宋_GB2312"/>
          <w:sz w:val="32"/>
          <w:szCs w:val="32"/>
        </w:rPr>
        <w:t>11.56%，</w:t>
      </w:r>
      <w:r>
        <w:rPr>
          <w:rFonts w:hint="eastAsia" w:ascii="仿宋_GB2312" w:eastAsia="仿宋_GB2312"/>
          <w:sz w:val="32"/>
          <w:szCs w:val="32"/>
          <w:highlight w:val="none"/>
        </w:rPr>
        <w:t>主要原因</w:t>
      </w:r>
      <w:r>
        <w:rPr>
          <w:rFonts w:hint="eastAsia" w:ascii="仿宋_GB2312" w:eastAsia="仿宋_GB2312"/>
          <w:sz w:val="32"/>
          <w:szCs w:val="32"/>
          <w:highlight w:val="none"/>
          <w:lang w:eastAsia="zh-CN"/>
        </w:rPr>
        <w:t>今年年初结转和结余资金较往年减少</w:t>
      </w:r>
      <w:r>
        <w:rPr>
          <w:rFonts w:hint="eastAsia" w:ascii="仿宋_GB2312" w:eastAsia="仿宋_GB2312"/>
          <w:sz w:val="32"/>
          <w:szCs w:val="32"/>
          <w:highlight w:val="none"/>
        </w:rPr>
        <w:t>。</w:t>
      </w:r>
    </w:p>
    <w:p>
      <w:pPr>
        <w:keepNext w:val="0"/>
        <w:keepLines w:val="0"/>
        <w:pageBreakBefore w:val="0"/>
        <w:kinsoku/>
        <w:wordWrap/>
        <w:overflowPunct/>
        <w:topLinePunct w:val="0"/>
        <w:autoSpaceDE/>
        <w:autoSpaceDN/>
        <w:bidi w:val="0"/>
        <w:spacing w:line="560" w:lineRule="exact"/>
        <w:ind w:firstLine="643" w:firstLineChars="200"/>
        <w:jc w:val="both"/>
        <w:textAlignment w:val="auto"/>
        <w:rPr>
          <w:rFonts w:ascii="仿宋_GB2312" w:eastAsia="仿宋_GB2312"/>
          <w:b/>
          <w:sz w:val="32"/>
          <w:szCs w:val="32"/>
        </w:rPr>
      </w:pPr>
      <w:r>
        <w:rPr>
          <w:rFonts w:hint="eastAsia" w:ascii="仿宋_GB2312" w:eastAsia="仿宋_GB2312"/>
          <w:b/>
          <w:sz w:val="32"/>
          <w:szCs w:val="32"/>
        </w:rPr>
        <w:t>二、收入决算情况说明</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2021年度总收入决算为</w:t>
      </w:r>
      <w:r>
        <w:rPr>
          <w:rFonts w:hint="eastAsia" w:ascii="仿宋_GB2312" w:eastAsia="仿宋_GB2312"/>
          <w:sz w:val="32"/>
          <w:szCs w:val="32"/>
          <w:lang w:val="en-US" w:eastAsia="zh-CN"/>
        </w:rPr>
        <w:t>1,252.79</w:t>
      </w:r>
      <w:r>
        <w:rPr>
          <w:rFonts w:hint="eastAsia" w:ascii="仿宋_GB2312" w:eastAsia="仿宋_GB2312"/>
          <w:sz w:val="32"/>
          <w:szCs w:val="32"/>
        </w:rPr>
        <w:t>万元，主要包括财政拨款收入1</w:t>
      </w:r>
      <w:r>
        <w:rPr>
          <w:rFonts w:hint="eastAsia" w:ascii="仿宋_GB2312" w:eastAsia="仿宋_GB2312"/>
          <w:sz w:val="32"/>
          <w:szCs w:val="32"/>
          <w:lang w:val="en-US" w:eastAsia="zh-CN"/>
        </w:rPr>
        <w:t>,</w:t>
      </w:r>
      <w:r>
        <w:rPr>
          <w:rFonts w:hint="eastAsia" w:ascii="仿宋_GB2312" w:eastAsia="仿宋_GB2312"/>
          <w:sz w:val="32"/>
          <w:szCs w:val="32"/>
        </w:rPr>
        <w:t>052.93万元，占总收入80.21%；其他收入199.86万元，占总收入15.23%。总收入比上年增加82.09万元，同比增长6.25%，</w:t>
      </w:r>
      <w:r>
        <w:rPr>
          <w:rFonts w:hint="eastAsia" w:ascii="仿宋_GB2312" w:eastAsia="仿宋_GB2312"/>
          <w:sz w:val="32"/>
          <w:szCs w:val="32"/>
          <w:highlight w:val="none"/>
        </w:rPr>
        <w:t>主要原因</w:t>
      </w:r>
      <w:r>
        <w:rPr>
          <w:rFonts w:hint="eastAsia" w:ascii="仿宋_GB2312" w:eastAsia="仿宋_GB2312"/>
          <w:sz w:val="32"/>
          <w:szCs w:val="32"/>
          <w:highlight w:val="none"/>
          <w:lang w:eastAsia="zh-CN"/>
        </w:rPr>
        <w:t>为专项经费及住房改革支出预算较往年增加</w:t>
      </w:r>
      <w:r>
        <w:rPr>
          <w:rFonts w:hint="eastAsia" w:ascii="仿宋_GB2312" w:eastAsia="仿宋_GB2312"/>
          <w:sz w:val="32"/>
          <w:szCs w:val="32"/>
          <w:highlight w:val="none"/>
        </w:rPr>
        <w:t>。</w:t>
      </w:r>
    </w:p>
    <w:p>
      <w:pPr>
        <w:keepNext w:val="0"/>
        <w:keepLines w:val="0"/>
        <w:pageBreakBefore w:val="0"/>
        <w:kinsoku/>
        <w:wordWrap/>
        <w:overflowPunct/>
        <w:topLinePunct w:val="0"/>
        <w:autoSpaceDE/>
        <w:autoSpaceDN/>
        <w:bidi w:val="0"/>
        <w:spacing w:line="560" w:lineRule="exact"/>
        <w:ind w:firstLine="643" w:firstLineChars="200"/>
        <w:jc w:val="both"/>
        <w:textAlignment w:val="auto"/>
        <w:rPr>
          <w:rFonts w:ascii="仿宋_GB2312" w:eastAsia="仿宋_GB2312"/>
          <w:b/>
          <w:sz w:val="32"/>
          <w:szCs w:val="32"/>
        </w:rPr>
      </w:pPr>
      <w:r>
        <w:rPr>
          <w:rFonts w:hint="eastAsia" w:ascii="仿宋_GB2312" w:eastAsia="仿宋_GB2312"/>
          <w:b/>
          <w:sz w:val="32"/>
          <w:szCs w:val="32"/>
        </w:rPr>
        <w:t>三、支出决算情况说明</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2021年度总支出决算为1</w:t>
      </w:r>
      <w:r>
        <w:rPr>
          <w:rFonts w:hint="eastAsia" w:ascii="仿宋_GB2312" w:eastAsia="仿宋_GB2312"/>
          <w:sz w:val="32"/>
          <w:szCs w:val="32"/>
          <w:lang w:val="en-US" w:eastAsia="zh-CN"/>
        </w:rPr>
        <w:t>,</w:t>
      </w:r>
      <w:r>
        <w:rPr>
          <w:rFonts w:hint="eastAsia" w:ascii="仿宋_GB2312" w:eastAsia="仿宋_GB2312"/>
          <w:sz w:val="32"/>
          <w:szCs w:val="32"/>
        </w:rPr>
        <w:t>312.7万元，主要包括基本支出355.03万元，占总支出27.05%；项目支出957.67万元，占总支出72.95%。总支出比上年增加23.82万元，同比增长1.85%，</w:t>
      </w:r>
      <w:r>
        <w:rPr>
          <w:rFonts w:hint="eastAsia" w:ascii="仿宋_GB2312" w:eastAsia="仿宋_GB2312"/>
          <w:sz w:val="32"/>
          <w:szCs w:val="32"/>
          <w:highlight w:val="none"/>
        </w:rPr>
        <w:t>主要原因</w:t>
      </w:r>
      <w:r>
        <w:rPr>
          <w:rFonts w:hint="eastAsia" w:ascii="仿宋_GB2312" w:eastAsia="仿宋_GB2312"/>
          <w:sz w:val="32"/>
          <w:szCs w:val="32"/>
          <w:highlight w:val="none"/>
          <w:lang w:eastAsia="zh-CN"/>
        </w:rPr>
        <w:t>为专项经费及住房改革支出预算较往年增加</w:t>
      </w:r>
      <w:r>
        <w:rPr>
          <w:rFonts w:hint="eastAsia" w:ascii="仿宋_GB2312" w:eastAsia="仿宋_GB2312"/>
          <w:sz w:val="32"/>
          <w:szCs w:val="32"/>
          <w:highlight w:val="none"/>
        </w:rPr>
        <w:t>。</w:t>
      </w:r>
    </w:p>
    <w:p>
      <w:pPr>
        <w:keepNext w:val="0"/>
        <w:keepLines w:val="0"/>
        <w:pageBreakBefore w:val="0"/>
        <w:kinsoku/>
        <w:wordWrap/>
        <w:overflowPunct/>
        <w:topLinePunct w:val="0"/>
        <w:autoSpaceDE/>
        <w:autoSpaceDN/>
        <w:bidi w:val="0"/>
        <w:spacing w:line="560" w:lineRule="exact"/>
        <w:ind w:firstLine="643" w:firstLineChars="200"/>
        <w:jc w:val="both"/>
        <w:textAlignment w:val="auto"/>
        <w:rPr>
          <w:rFonts w:ascii="仿宋_GB2312" w:eastAsia="仿宋_GB2312"/>
          <w:b/>
          <w:sz w:val="32"/>
          <w:szCs w:val="32"/>
        </w:rPr>
      </w:pPr>
      <w:r>
        <w:rPr>
          <w:rFonts w:hint="eastAsia" w:ascii="仿宋_GB2312" w:eastAsia="仿宋_GB2312"/>
          <w:b/>
          <w:sz w:val="32"/>
          <w:szCs w:val="32"/>
        </w:rPr>
        <w:t>四、一般公共预算财政拨款收入支出决算总体情况说明</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eastAsia" w:ascii="仿宋_GB2312" w:eastAsia="仿宋_GB2312"/>
          <w:sz w:val="32"/>
          <w:szCs w:val="32"/>
          <w:highlight w:val="none"/>
        </w:rPr>
      </w:pPr>
      <w:r>
        <w:rPr>
          <w:rFonts w:hint="eastAsia" w:ascii="仿宋_GB2312" w:eastAsia="仿宋_GB2312"/>
          <w:sz w:val="32"/>
          <w:szCs w:val="32"/>
        </w:rPr>
        <w:t>2021年度一般公共预算财政拨款总收入决算为1</w:t>
      </w:r>
      <w:r>
        <w:rPr>
          <w:rFonts w:hint="eastAsia" w:ascii="仿宋_GB2312" w:eastAsia="仿宋_GB2312"/>
          <w:sz w:val="32"/>
          <w:szCs w:val="32"/>
          <w:lang w:val="en-US" w:eastAsia="zh-CN"/>
        </w:rPr>
        <w:t>,</w:t>
      </w:r>
      <w:r>
        <w:rPr>
          <w:rFonts w:hint="eastAsia" w:ascii="仿宋_GB2312" w:eastAsia="仿宋_GB2312"/>
          <w:sz w:val="32"/>
          <w:szCs w:val="32"/>
        </w:rPr>
        <w:t>111.36万元，比上年</w:t>
      </w:r>
      <w:r>
        <w:rPr>
          <w:rFonts w:hint="eastAsia" w:ascii="仿宋_GB2312" w:eastAsia="仿宋_GB2312"/>
          <w:sz w:val="32"/>
          <w:szCs w:val="32"/>
          <w:lang w:eastAsia="zh-CN"/>
        </w:rPr>
        <w:t>减少</w:t>
      </w:r>
      <w:r>
        <w:rPr>
          <w:rFonts w:hint="eastAsia" w:ascii="仿宋_GB2312" w:eastAsia="仿宋_GB2312"/>
          <w:sz w:val="32"/>
          <w:szCs w:val="32"/>
        </w:rPr>
        <w:t>289.49万元，同比</w:t>
      </w:r>
      <w:r>
        <w:rPr>
          <w:rFonts w:hint="eastAsia" w:ascii="仿宋_GB2312" w:eastAsia="仿宋_GB2312"/>
          <w:sz w:val="32"/>
          <w:szCs w:val="32"/>
          <w:lang w:eastAsia="zh-CN"/>
        </w:rPr>
        <w:t>降低</w:t>
      </w:r>
      <w:r>
        <w:rPr>
          <w:rFonts w:hint="eastAsia" w:ascii="仿宋_GB2312" w:eastAsia="仿宋_GB2312"/>
          <w:sz w:val="32"/>
          <w:szCs w:val="32"/>
        </w:rPr>
        <w:t>20.67%，</w:t>
      </w:r>
      <w:r>
        <w:rPr>
          <w:rFonts w:hint="eastAsia" w:ascii="仿宋_GB2312" w:eastAsia="仿宋_GB2312"/>
          <w:sz w:val="32"/>
          <w:szCs w:val="32"/>
          <w:highlight w:val="none"/>
        </w:rPr>
        <w:t>主要原因</w:t>
      </w:r>
      <w:r>
        <w:rPr>
          <w:rFonts w:hint="eastAsia" w:ascii="仿宋_GB2312" w:eastAsia="仿宋_GB2312"/>
          <w:sz w:val="32"/>
          <w:szCs w:val="32"/>
          <w:highlight w:val="none"/>
          <w:lang w:eastAsia="zh-CN"/>
        </w:rPr>
        <w:t>今年年初结转和结余资金收入较往年减少</w:t>
      </w:r>
      <w:r>
        <w:rPr>
          <w:rFonts w:hint="eastAsia" w:ascii="仿宋_GB2312" w:eastAsia="仿宋_GB2312"/>
          <w:sz w:val="32"/>
          <w:szCs w:val="32"/>
          <w:highlight w:val="none"/>
        </w:rPr>
        <w:t>。</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2021年度一般公共预算财政拨款总支出决算为1</w:t>
      </w:r>
      <w:r>
        <w:rPr>
          <w:rFonts w:hint="eastAsia" w:ascii="仿宋_GB2312" w:eastAsia="仿宋_GB2312"/>
          <w:sz w:val="32"/>
          <w:szCs w:val="32"/>
          <w:lang w:val="en-US" w:eastAsia="zh-CN"/>
        </w:rPr>
        <w:t>,</w:t>
      </w:r>
      <w:r>
        <w:rPr>
          <w:rFonts w:hint="eastAsia" w:ascii="仿宋_GB2312" w:eastAsia="仿宋_GB2312"/>
          <w:sz w:val="32"/>
          <w:szCs w:val="32"/>
        </w:rPr>
        <w:t>111.36万元，比上年</w:t>
      </w:r>
      <w:r>
        <w:rPr>
          <w:rFonts w:hint="eastAsia" w:ascii="仿宋_GB2312" w:eastAsia="仿宋_GB2312"/>
          <w:sz w:val="32"/>
          <w:szCs w:val="32"/>
          <w:lang w:eastAsia="zh-CN"/>
        </w:rPr>
        <w:t>减少</w:t>
      </w:r>
      <w:r>
        <w:rPr>
          <w:rFonts w:hint="eastAsia" w:ascii="仿宋_GB2312" w:eastAsia="仿宋_GB2312"/>
          <w:sz w:val="32"/>
          <w:szCs w:val="32"/>
        </w:rPr>
        <w:t>147万元，同比</w:t>
      </w:r>
      <w:r>
        <w:rPr>
          <w:rFonts w:hint="eastAsia" w:ascii="仿宋_GB2312" w:eastAsia="仿宋_GB2312"/>
          <w:sz w:val="32"/>
          <w:szCs w:val="32"/>
          <w:lang w:eastAsia="zh-CN"/>
        </w:rPr>
        <w:t>降低</w:t>
      </w:r>
      <w:r>
        <w:rPr>
          <w:rFonts w:hint="eastAsia" w:ascii="仿宋_GB2312" w:eastAsia="仿宋_GB2312"/>
          <w:sz w:val="32"/>
          <w:szCs w:val="32"/>
        </w:rPr>
        <w:t>11.68%，</w:t>
      </w:r>
      <w:r>
        <w:rPr>
          <w:rFonts w:hint="eastAsia" w:ascii="仿宋_GB2312" w:eastAsia="仿宋_GB2312"/>
          <w:sz w:val="32"/>
          <w:szCs w:val="32"/>
          <w:highlight w:val="none"/>
        </w:rPr>
        <w:t>主要原因</w:t>
      </w:r>
      <w:r>
        <w:rPr>
          <w:rFonts w:hint="eastAsia" w:ascii="仿宋_GB2312" w:eastAsia="仿宋_GB2312"/>
          <w:sz w:val="32"/>
          <w:szCs w:val="32"/>
          <w:highlight w:val="none"/>
          <w:lang w:eastAsia="zh-CN"/>
        </w:rPr>
        <w:t>今年年初结转和结余资金支出较往年减少</w:t>
      </w:r>
      <w:r>
        <w:rPr>
          <w:rFonts w:hint="eastAsia" w:ascii="仿宋_GB2312" w:eastAsia="仿宋_GB2312"/>
          <w:sz w:val="32"/>
          <w:szCs w:val="32"/>
          <w:highlight w:val="none"/>
        </w:rPr>
        <w:t>。</w:t>
      </w:r>
    </w:p>
    <w:p>
      <w:pPr>
        <w:keepNext w:val="0"/>
        <w:keepLines w:val="0"/>
        <w:pageBreakBefore w:val="0"/>
        <w:kinsoku/>
        <w:wordWrap/>
        <w:overflowPunct/>
        <w:topLinePunct w:val="0"/>
        <w:autoSpaceDE/>
        <w:autoSpaceDN/>
        <w:bidi w:val="0"/>
        <w:spacing w:line="560" w:lineRule="exact"/>
        <w:ind w:firstLine="643" w:firstLineChars="200"/>
        <w:jc w:val="both"/>
        <w:textAlignment w:val="auto"/>
        <w:rPr>
          <w:rFonts w:ascii="仿宋_GB2312" w:eastAsia="仿宋_GB2312"/>
          <w:b/>
          <w:sz w:val="32"/>
          <w:szCs w:val="32"/>
        </w:rPr>
      </w:pPr>
      <w:r>
        <w:rPr>
          <w:rFonts w:hint="eastAsia" w:ascii="仿宋_GB2312" w:eastAsia="仿宋_GB2312"/>
          <w:b/>
          <w:sz w:val="32"/>
          <w:szCs w:val="32"/>
        </w:rPr>
        <w:t>五、一般公共预算财政拨款支出决算情况说明</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仿宋_GB2312" w:eastAsia="仿宋_GB2312"/>
          <w:sz w:val="32"/>
          <w:szCs w:val="32"/>
        </w:rPr>
      </w:pPr>
      <w:r>
        <w:rPr>
          <w:rFonts w:hint="eastAsia" w:ascii="仿宋_GB2312" w:eastAsia="仿宋_GB2312"/>
          <w:kern w:val="0"/>
          <w:sz w:val="32"/>
          <w:szCs w:val="32"/>
        </w:rPr>
        <w:t>2021年度一般公共预算财政拨款支出</w:t>
      </w:r>
      <w:r>
        <w:rPr>
          <w:rFonts w:hint="eastAsia" w:ascii="仿宋_GB2312" w:eastAsia="仿宋_GB2312"/>
          <w:sz w:val="32"/>
          <w:szCs w:val="32"/>
        </w:rPr>
        <w:t>决算为1</w:t>
      </w:r>
      <w:r>
        <w:rPr>
          <w:rFonts w:hint="eastAsia" w:ascii="仿宋_GB2312" w:eastAsia="仿宋_GB2312"/>
          <w:sz w:val="32"/>
          <w:szCs w:val="32"/>
          <w:lang w:val="en-US" w:eastAsia="zh-CN"/>
        </w:rPr>
        <w:t>,</w:t>
      </w:r>
      <w:r>
        <w:rPr>
          <w:rFonts w:hint="eastAsia" w:ascii="仿宋_GB2312" w:eastAsia="仿宋_GB2312"/>
          <w:sz w:val="32"/>
          <w:szCs w:val="32"/>
        </w:rPr>
        <w:t>111.36万元，比上年</w:t>
      </w:r>
      <w:r>
        <w:rPr>
          <w:rFonts w:hint="eastAsia" w:ascii="仿宋_GB2312" w:eastAsia="仿宋_GB2312"/>
          <w:sz w:val="32"/>
          <w:szCs w:val="32"/>
          <w:lang w:eastAsia="zh-CN"/>
        </w:rPr>
        <w:t>减少</w:t>
      </w:r>
      <w:r>
        <w:rPr>
          <w:rFonts w:hint="eastAsia" w:ascii="仿宋_GB2312" w:eastAsia="仿宋_GB2312"/>
          <w:sz w:val="32"/>
          <w:szCs w:val="32"/>
        </w:rPr>
        <w:t>147万元，同比</w:t>
      </w:r>
      <w:r>
        <w:rPr>
          <w:rFonts w:hint="eastAsia" w:ascii="仿宋_GB2312" w:eastAsia="仿宋_GB2312"/>
          <w:sz w:val="32"/>
          <w:szCs w:val="32"/>
          <w:lang w:eastAsia="zh-CN"/>
        </w:rPr>
        <w:t>降低</w:t>
      </w:r>
      <w:r>
        <w:rPr>
          <w:rFonts w:hint="eastAsia" w:ascii="仿宋_GB2312" w:eastAsia="仿宋_GB2312"/>
          <w:sz w:val="32"/>
          <w:szCs w:val="32"/>
        </w:rPr>
        <w:t>11.68%，</w:t>
      </w:r>
      <w:r>
        <w:rPr>
          <w:rFonts w:hint="eastAsia" w:ascii="仿宋_GB2312" w:eastAsia="仿宋_GB2312"/>
          <w:sz w:val="32"/>
          <w:szCs w:val="32"/>
          <w:highlight w:val="none"/>
        </w:rPr>
        <w:t>主要原因</w:t>
      </w:r>
      <w:r>
        <w:rPr>
          <w:rFonts w:hint="eastAsia" w:ascii="仿宋_GB2312" w:eastAsia="仿宋_GB2312"/>
          <w:sz w:val="32"/>
          <w:szCs w:val="32"/>
          <w:highlight w:val="none"/>
          <w:lang w:eastAsia="zh-CN"/>
        </w:rPr>
        <w:t>今年年初结转和结余资金支出较往年减少</w:t>
      </w:r>
      <w:r>
        <w:rPr>
          <w:rFonts w:hint="eastAsia" w:ascii="仿宋_GB2312" w:eastAsia="仿宋_GB2312"/>
          <w:sz w:val="32"/>
          <w:szCs w:val="32"/>
          <w:highlight w:val="none"/>
        </w:rPr>
        <w:t>。</w:t>
      </w:r>
      <w:r>
        <w:rPr>
          <w:rFonts w:hint="eastAsia" w:ascii="仿宋_GB2312" w:eastAsia="仿宋_GB2312"/>
          <w:sz w:val="32"/>
          <w:szCs w:val="32"/>
        </w:rPr>
        <w:t>其中：基本支出946.39万元，占总支出85.16%；项目支出164.97万元，占总支出14.84%。</w:t>
      </w:r>
    </w:p>
    <w:p>
      <w:pPr>
        <w:keepNext w:val="0"/>
        <w:keepLines w:val="0"/>
        <w:pageBreakBefore w:val="0"/>
        <w:kinsoku/>
        <w:wordWrap/>
        <w:overflowPunct/>
        <w:topLinePunct w:val="0"/>
        <w:autoSpaceDE/>
        <w:autoSpaceDN/>
        <w:bidi w:val="0"/>
        <w:spacing w:line="560" w:lineRule="exact"/>
        <w:ind w:firstLine="643" w:firstLineChars="200"/>
        <w:jc w:val="both"/>
        <w:textAlignment w:val="auto"/>
        <w:rPr>
          <w:rFonts w:ascii="仿宋_GB2312" w:eastAsia="仿宋_GB2312"/>
          <w:b/>
          <w:sz w:val="32"/>
          <w:szCs w:val="32"/>
        </w:rPr>
      </w:pPr>
      <w:r>
        <w:rPr>
          <w:rFonts w:hint="eastAsia" w:ascii="仿宋_GB2312" w:eastAsia="仿宋_GB2312"/>
          <w:b/>
          <w:sz w:val="32"/>
          <w:szCs w:val="32"/>
        </w:rPr>
        <w:t>六、一般公共预算财政拨款基本支出决算情况说明</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2021年度一般公共预算财政拨款基本支出决算为355.03万元，比上年</w:t>
      </w:r>
      <w:r>
        <w:rPr>
          <w:rFonts w:hint="eastAsia" w:ascii="仿宋_GB2312" w:eastAsia="仿宋_GB2312"/>
          <w:sz w:val="32"/>
          <w:szCs w:val="32"/>
          <w:lang w:eastAsia="zh-CN"/>
        </w:rPr>
        <w:t>减少</w:t>
      </w:r>
      <w:r>
        <w:rPr>
          <w:rFonts w:hint="eastAsia" w:ascii="仿宋_GB2312" w:eastAsia="仿宋_GB2312"/>
          <w:sz w:val="32"/>
          <w:szCs w:val="32"/>
        </w:rPr>
        <w:t>2.12万元，同比</w:t>
      </w:r>
      <w:r>
        <w:rPr>
          <w:rFonts w:hint="eastAsia" w:ascii="仿宋_GB2312" w:eastAsia="仿宋_GB2312"/>
          <w:sz w:val="32"/>
          <w:szCs w:val="32"/>
          <w:lang w:eastAsia="zh-CN"/>
        </w:rPr>
        <w:t>降低</w:t>
      </w:r>
      <w:r>
        <w:rPr>
          <w:rFonts w:hint="eastAsia" w:ascii="仿宋_GB2312" w:eastAsia="仿宋_GB2312"/>
          <w:sz w:val="32"/>
          <w:szCs w:val="32"/>
        </w:rPr>
        <w:t>0.59%。主要原因为</w:t>
      </w:r>
      <w:r>
        <w:rPr>
          <w:rFonts w:hint="eastAsia" w:ascii="仿宋_GB2312" w:eastAsia="仿宋_GB2312"/>
          <w:sz w:val="32"/>
          <w:szCs w:val="32"/>
          <w:lang w:eastAsia="zh-CN"/>
        </w:rPr>
        <w:t>人员变动，</w:t>
      </w:r>
      <w:r>
        <w:rPr>
          <w:rFonts w:hint="eastAsia" w:ascii="仿宋_GB2312" w:eastAsia="仿宋_GB2312"/>
          <w:sz w:val="32"/>
          <w:szCs w:val="32"/>
        </w:rPr>
        <w:t>今年工资福利支出</w:t>
      </w:r>
      <w:r>
        <w:rPr>
          <w:rFonts w:hint="eastAsia" w:ascii="仿宋_GB2312" w:eastAsia="仿宋_GB2312"/>
          <w:sz w:val="32"/>
          <w:szCs w:val="32"/>
          <w:lang w:eastAsia="zh-CN"/>
        </w:rPr>
        <w:t>预算较往年减少</w:t>
      </w:r>
      <w:r>
        <w:rPr>
          <w:rFonts w:hint="eastAsia" w:ascii="仿宋_GB2312" w:eastAsia="仿宋_GB2312"/>
          <w:sz w:val="32"/>
          <w:szCs w:val="32"/>
        </w:rPr>
        <w:t>。其中：</w:t>
      </w:r>
      <w:r>
        <w:rPr>
          <w:rFonts w:hint="eastAsia" w:ascii="仿宋_GB2312" w:eastAsia="仿宋_GB2312"/>
          <w:b/>
          <w:sz w:val="32"/>
          <w:szCs w:val="32"/>
        </w:rPr>
        <w:t>人员经费</w:t>
      </w:r>
      <w:r>
        <w:rPr>
          <w:rFonts w:hint="eastAsia" w:ascii="仿宋_GB2312" w:eastAsia="仿宋_GB2312"/>
          <w:b/>
          <w:bCs/>
          <w:sz w:val="32"/>
          <w:szCs w:val="32"/>
        </w:rPr>
        <w:t>支出</w:t>
      </w:r>
      <w:r>
        <w:rPr>
          <w:rFonts w:hint="eastAsia" w:ascii="仿宋_GB2312" w:eastAsia="仿宋_GB2312"/>
          <w:sz w:val="32"/>
          <w:szCs w:val="32"/>
        </w:rPr>
        <w:t>合计313.34万元，占总支出的88.26%，主要包括工资福利支出支出和对个人和家庭的补助支出。</w:t>
      </w:r>
      <w:r>
        <w:rPr>
          <w:rFonts w:hint="eastAsia" w:ascii="仿宋_GB2312" w:eastAsia="仿宋_GB2312"/>
          <w:b/>
          <w:sz w:val="32"/>
          <w:szCs w:val="32"/>
        </w:rPr>
        <w:t>公用经费支出</w:t>
      </w:r>
      <w:r>
        <w:rPr>
          <w:rFonts w:hint="eastAsia" w:ascii="仿宋_GB2312" w:eastAsia="仿宋_GB2312"/>
          <w:sz w:val="32"/>
          <w:szCs w:val="32"/>
        </w:rPr>
        <w:t>合计41.69万元，占总支出11.74%，</w:t>
      </w:r>
      <w:r>
        <w:rPr>
          <w:rFonts w:hint="eastAsia" w:ascii="FangSong_GB2312" w:eastAsia="FangSong_GB2312"/>
          <w:sz w:val="32"/>
          <w:szCs w:val="32"/>
          <w:lang w:eastAsia="zh-CN"/>
        </w:rPr>
        <w:t>主要包括</w:t>
      </w:r>
      <w:r>
        <w:rPr>
          <w:rFonts w:hint="eastAsia" w:ascii="仿宋_GB2312" w:eastAsia="仿宋_GB2312"/>
          <w:sz w:val="32"/>
          <w:szCs w:val="32"/>
          <w:lang w:eastAsia="zh-CN"/>
        </w:rPr>
        <w:t>商品和服务支出</w:t>
      </w:r>
      <w:r>
        <w:rPr>
          <w:rFonts w:hint="eastAsia" w:ascii="仿宋_GB2312" w:eastAsia="仿宋_GB2312"/>
          <w:sz w:val="32"/>
          <w:szCs w:val="32"/>
        </w:rPr>
        <w:t>等</w:t>
      </w:r>
      <w:r>
        <w:rPr>
          <w:rFonts w:hint="eastAsia" w:ascii="仿宋_GB2312" w:eastAsia="仿宋_GB2312"/>
          <w:sz w:val="32"/>
          <w:szCs w:val="32"/>
          <w:lang w:eastAsia="zh-CN"/>
        </w:rPr>
        <w:t>。</w:t>
      </w:r>
    </w:p>
    <w:p>
      <w:pPr>
        <w:keepNext w:val="0"/>
        <w:keepLines w:val="0"/>
        <w:pageBreakBefore w:val="0"/>
        <w:kinsoku/>
        <w:wordWrap/>
        <w:overflowPunct/>
        <w:topLinePunct w:val="0"/>
        <w:autoSpaceDE/>
        <w:autoSpaceDN/>
        <w:bidi w:val="0"/>
        <w:spacing w:line="560" w:lineRule="exact"/>
        <w:ind w:firstLine="643" w:firstLineChars="200"/>
        <w:jc w:val="both"/>
        <w:textAlignment w:val="auto"/>
        <w:rPr>
          <w:rFonts w:ascii="仿宋_GB2312" w:eastAsia="仿宋_GB2312"/>
          <w:b/>
          <w:sz w:val="32"/>
          <w:szCs w:val="32"/>
        </w:rPr>
      </w:pPr>
      <w:r>
        <w:rPr>
          <w:rFonts w:hint="eastAsia" w:ascii="仿宋_GB2312" w:eastAsia="仿宋_GB2312"/>
          <w:b/>
          <w:sz w:val="32"/>
          <w:szCs w:val="32"/>
        </w:rPr>
        <w:t>七、一般公共预算财政拨款“三公”经费支出决算情况说明</w:t>
      </w:r>
    </w:p>
    <w:p>
      <w:pPr>
        <w:keepNext w:val="0"/>
        <w:keepLines w:val="0"/>
        <w:pageBreakBefore w:val="0"/>
        <w:widowControl/>
        <w:kinsoku/>
        <w:wordWrap/>
        <w:overflowPunct/>
        <w:topLinePunct w:val="0"/>
        <w:autoSpaceDE/>
        <w:autoSpaceDN/>
        <w:bidi w:val="0"/>
        <w:adjustRightInd w:val="0"/>
        <w:snapToGrid w:val="0"/>
        <w:spacing w:line="560" w:lineRule="exact"/>
        <w:ind w:firstLine="608" w:firstLineChars="200"/>
        <w:jc w:val="both"/>
        <w:textAlignment w:val="auto"/>
        <w:rPr>
          <w:rFonts w:ascii="仿宋_GB2312" w:hAnsi="仿宋_GB2312" w:eastAsia="仿宋_GB2312" w:cs="仿宋_GB2312"/>
          <w:snapToGrid w:val="0"/>
          <w:w w:val="95"/>
          <w:sz w:val="32"/>
          <w:szCs w:val="32"/>
        </w:rPr>
      </w:pPr>
      <w:r>
        <w:rPr>
          <w:rFonts w:hint="eastAsia" w:ascii="仿宋_GB2312" w:hAnsi="仿宋_GB2312" w:eastAsia="仿宋_GB2312" w:cs="仿宋_GB2312"/>
          <w:snapToGrid w:val="0"/>
          <w:w w:val="95"/>
          <w:sz w:val="32"/>
          <w:szCs w:val="32"/>
        </w:rPr>
        <w:t>2021年度一般公共预算财政拨款“三公”经费总支出350.82万元，比上年增加38.51万元，同比增长12.33%</w:t>
      </w:r>
      <w:r>
        <w:rPr>
          <w:rFonts w:hint="eastAsia" w:ascii="仿宋_GB2312" w:hAnsi="仿宋_GB2312" w:eastAsia="仿宋_GB2312" w:cs="仿宋_GB2312"/>
          <w:sz w:val="32"/>
          <w:szCs w:val="32"/>
        </w:rPr>
        <w:t>。其中：</w:t>
      </w:r>
    </w:p>
    <w:p>
      <w:pPr>
        <w:keepNext w:val="0"/>
        <w:keepLines w:val="0"/>
        <w:pageBreakBefore w:val="0"/>
        <w:widowControl/>
        <w:kinsoku/>
        <w:wordWrap/>
        <w:overflowPunct/>
        <w:topLinePunct w:val="0"/>
        <w:autoSpaceDE/>
        <w:autoSpaceDN/>
        <w:bidi w:val="0"/>
        <w:adjustRightInd w:val="0"/>
        <w:snapToGrid w:val="0"/>
        <w:spacing w:line="560" w:lineRule="exact"/>
        <w:ind w:firstLine="608" w:firstLineChars="200"/>
        <w:jc w:val="both"/>
        <w:textAlignment w:val="auto"/>
        <w:rPr>
          <w:rFonts w:ascii="仿宋_GB2312" w:hAnsi="仿宋_GB2312" w:eastAsia="仿宋_GB2312" w:cs="仿宋_GB2312"/>
          <w:snapToGrid w:val="0"/>
          <w:w w:val="95"/>
          <w:sz w:val="32"/>
          <w:szCs w:val="32"/>
        </w:rPr>
      </w:pPr>
      <w:r>
        <w:rPr>
          <w:rFonts w:hint="eastAsia" w:ascii="楷体_GB2312" w:hAnsi="楷体_GB2312" w:eastAsia="楷体_GB2312" w:cs="楷体_GB2312"/>
          <w:snapToGrid w:val="0"/>
          <w:w w:val="95"/>
          <w:sz w:val="32"/>
          <w:szCs w:val="32"/>
        </w:rPr>
        <w:t>（1）因公出国（境）费用。</w:t>
      </w:r>
      <w:r>
        <w:rPr>
          <w:rFonts w:hint="eastAsia" w:ascii="仿宋_GB2312" w:hAnsi="仿宋_GB2312" w:eastAsia="仿宋_GB2312" w:cs="仿宋_GB2312"/>
          <w:snapToGrid w:val="0"/>
          <w:w w:val="95"/>
          <w:sz w:val="32"/>
          <w:szCs w:val="32"/>
        </w:rPr>
        <w:t>因公出国（镜）0团组数0人数，与上年持平。为进一步规范因公出国（境）费用管理，我县因公出国（境）费用按照零基预算原则，因此因公出国（境）费用支出为0万元。</w:t>
      </w:r>
    </w:p>
    <w:p>
      <w:pPr>
        <w:keepNext w:val="0"/>
        <w:keepLines w:val="0"/>
        <w:pageBreakBefore w:val="0"/>
        <w:widowControl/>
        <w:kinsoku/>
        <w:wordWrap/>
        <w:overflowPunct/>
        <w:topLinePunct w:val="0"/>
        <w:autoSpaceDE/>
        <w:autoSpaceDN/>
        <w:bidi w:val="0"/>
        <w:adjustRightInd w:val="0"/>
        <w:snapToGrid w:val="0"/>
        <w:spacing w:line="560" w:lineRule="exact"/>
        <w:ind w:firstLine="608" w:firstLineChars="200"/>
        <w:jc w:val="both"/>
        <w:textAlignment w:val="auto"/>
        <w:rPr>
          <w:rFonts w:ascii="仿宋_GB2312" w:hAnsi="仿宋_GB2312" w:eastAsia="仿宋_GB2312" w:cs="仿宋_GB2312"/>
          <w:snapToGrid w:val="0"/>
          <w:w w:val="95"/>
          <w:sz w:val="32"/>
          <w:szCs w:val="32"/>
        </w:rPr>
      </w:pPr>
      <w:r>
        <w:rPr>
          <w:rFonts w:hint="eastAsia" w:ascii="楷体_GB2312" w:hAnsi="楷体_GB2312" w:eastAsia="楷体_GB2312" w:cs="楷体_GB2312"/>
          <w:snapToGrid w:val="0"/>
          <w:w w:val="95"/>
          <w:sz w:val="32"/>
          <w:szCs w:val="32"/>
        </w:rPr>
        <w:t>（2）公务用车购置及运行费</w:t>
      </w:r>
      <w:r>
        <w:rPr>
          <w:rFonts w:hint="eastAsia" w:ascii="仿宋_GB2312" w:hAnsi="仿宋_GB2312" w:eastAsia="仿宋_GB2312" w:cs="仿宋_GB2312"/>
          <w:snapToGrid w:val="0"/>
          <w:w w:val="95"/>
          <w:sz w:val="32"/>
          <w:szCs w:val="32"/>
        </w:rPr>
        <w:t>。2021年度支出</w:t>
      </w:r>
      <w:r>
        <w:rPr>
          <w:rFonts w:hint="eastAsia" w:ascii="仿宋_GB2312" w:hAnsi="仿宋_GB2312" w:eastAsia="仿宋_GB2312" w:cs="仿宋_GB2312"/>
          <w:snapToGrid w:val="0"/>
          <w:w w:val="95"/>
          <w:sz w:val="32"/>
          <w:szCs w:val="32"/>
          <w:lang w:val="en-US" w:eastAsia="zh-CN"/>
        </w:rPr>
        <w:t>316.18</w:t>
      </w:r>
      <w:r>
        <w:rPr>
          <w:rFonts w:hint="eastAsia" w:ascii="仿宋_GB2312" w:hAnsi="仿宋_GB2312" w:eastAsia="仿宋_GB2312" w:cs="仿宋_GB2312"/>
          <w:snapToGrid w:val="0"/>
          <w:w w:val="95"/>
          <w:sz w:val="32"/>
          <w:szCs w:val="32"/>
        </w:rPr>
        <w:t>万元，其中：</w:t>
      </w:r>
    </w:p>
    <w:p>
      <w:pPr>
        <w:keepNext w:val="0"/>
        <w:keepLines w:val="0"/>
        <w:pageBreakBefore w:val="0"/>
        <w:widowControl/>
        <w:kinsoku/>
        <w:wordWrap/>
        <w:overflowPunct/>
        <w:topLinePunct w:val="0"/>
        <w:autoSpaceDE/>
        <w:autoSpaceDN/>
        <w:bidi w:val="0"/>
        <w:adjustRightInd w:val="0"/>
        <w:snapToGrid w:val="0"/>
        <w:spacing w:line="560" w:lineRule="exact"/>
        <w:ind w:firstLine="608" w:firstLineChars="200"/>
        <w:jc w:val="both"/>
        <w:textAlignment w:val="auto"/>
        <w:rPr>
          <w:rFonts w:ascii="仿宋_GB2312" w:hAnsi="仿宋_GB2312" w:eastAsia="仿宋_GB2312" w:cs="仿宋_GB2312"/>
          <w:snapToGrid w:val="0"/>
          <w:w w:val="95"/>
          <w:sz w:val="32"/>
          <w:szCs w:val="32"/>
          <w:highlight w:val="none"/>
        </w:rPr>
      </w:pPr>
      <w:r>
        <w:rPr>
          <w:rFonts w:hint="eastAsia" w:ascii="仿宋_GB2312" w:hAnsi="仿宋_GB2312" w:eastAsia="仿宋_GB2312" w:cs="仿宋_GB2312"/>
          <w:snapToGrid w:val="0"/>
          <w:w w:val="95"/>
          <w:sz w:val="32"/>
          <w:szCs w:val="32"/>
          <w:highlight w:val="none"/>
        </w:rPr>
        <w:t>1.公务用车购置费。公务用车购置费为</w:t>
      </w:r>
      <w:r>
        <w:rPr>
          <w:rFonts w:hint="eastAsia" w:ascii="仿宋_GB2312" w:hAnsi="仿宋_GB2312" w:eastAsia="仿宋_GB2312" w:cs="仿宋_GB2312"/>
          <w:snapToGrid w:val="0"/>
          <w:w w:val="95"/>
          <w:sz w:val="32"/>
          <w:szCs w:val="32"/>
          <w:highlight w:val="none"/>
          <w:lang w:val="en-US" w:eastAsia="zh-CN"/>
        </w:rPr>
        <w:t>60.01</w:t>
      </w:r>
      <w:r>
        <w:rPr>
          <w:rFonts w:hint="eastAsia" w:ascii="仿宋_GB2312" w:hAnsi="仿宋_GB2312" w:eastAsia="仿宋_GB2312" w:cs="仿宋_GB2312"/>
          <w:snapToGrid w:val="0"/>
          <w:w w:val="95"/>
          <w:sz w:val="32"/>
          <w:szCs w:val="32"/>
          <w:highlight w:val="none"/>
        </w:rPr>
        <w:t>万元，比</w:t>
      </w:r>
      <w:r>
        <w:rPr>
          <w:rFonts w:hint="eastAsia" w:ascii="仿宋_GB2312" w:hAnsi="仿宋_GB2312" w:eastAsia="仿宋_GB2312" w:cs="仿宋_GB2312"/>
          <w:sz w:val="32"/>
          <w:szCs w:val="32"/>
          <w:highlight w:val="none"/>
        </w:rPr>
        <w:t>上年</w:t>
      </w:r>
      <w:r>
        <w:rPr>
          <w:rFonts w:hint="eastAsia" w:ascii="仿宋_GB2312" w:hAnsi="仿宋_GB2312" w:eastAsia="仿宋_GB2312" w:cs="仿宋_GB2312"/>
          <w:sz w:val="32"/>
          <w:szCs w:val="32"/>
          <w:highlight w:val="none"/>
          <w:lang w:eastAsia="zh-CN"/>
        </w:rPr>
        <w:t>减少</w:t>
      </w:r>
      <w:r>
        <w:rPr>
          <w:rFonts w:hint="eastAsia" w:ascii="仿宋_GB2312" w:hAnsi="仿宋_GB2312" w:eastAsia="仿宋_GB2312" w:cs="仿宋_GB2312"/>
          <w:sz w:val="32"/>
          <w:szCs w:val="32"/>
          <w:highlight w:val="none"/>
          <w:lang w:val="en-US" w:eastAsia="zh-CN"/>
        </w:rPr>
        <w:t>11.23</w:t>
      </w:r>
      <w:r>
        <w:rPr>
          <w:rFonts w:hint="eastAsia" w:ascii="仿宋_GB2312" w:hAnsi="仿宋_GB2312" w:eastAsia="仿宋_GB2312" w:cs="仿宋_GB2312"/>
          <w:sz w:val="32"/>
          <w:szCs w:val="32"/>
          <w:highlight w:val="none"/>
        </w:rPr>
        <w:t>万元，同比</w:t>
      </w:r>
      <w:r>
        <w:rPr>
          <w:rFonts w:hint="eastAsia" w:ascii="仿宋_GB2312" w:hAnsi="仿宋_GB2312" w:eastAsia="仿宋_GB2312" w:cs="仿宋_GB2312"/>
          <w:sz w:val="32"/>
          <w:szCs w:val="32"/>
          <w:highlight w:val="none"/>
          <w:lang w:eastAsia="zh-CN"/>
        </w:rPr>
        <w:t>降低</w:t>
      </w:r>
      <w:r>
        <w:rPr>
          <w:rFonts w:hint="eastAsia" w:ascii="仿宋_GB2312" w:hAnsi="仿宋_GB2312" w:eastAsia="仿宋_GB2312" w:cs="仿宋_GB2312"/>
          <w:sz w:val="32"/>
          <w:szCs w:val="32"/>
          <w:highlight w:val="none"/>
          <w:lang w:val="en-US" w:eastAsia="zh-CN"/>
        </w:rPr>
        <w:t>15.76</w:t>
      </w:r>
      <w:r>
        <w:rPr>
          <w:rFonts w:hint="eastAsia" w:ascii="仿宋_GB2312" w:hAnsi="仿宋_GB2312" w:eastAsia="仿宋_GB2312" w:cs="仿宋_GB2312"/>
          <w:sz w:val="32"/>
          <w:szCs w:val="32"/>
          <w:highlight w:val="none"/>
        </w:rPr>
        <w:t>%，主要原因为</w:t>
      </w:r>
      <w:r>
        <w:rPr>
          <w:rFonts w:hint="eastAsia" w:ascii="仿宋_GB2312" w:hAnsi="仿宋_GB2312" w:eastAsia="仿宋_GB2312" w:cs="仿宋_GB2312"/>
          <w:sz w:val="32"/>
          <w:szCs w:val="32"/>
          <w:highlight w:val="none"/>
          <w:lang w:eastAsia="zh-CN"/>
        </w:rPr>
        <w:t>车辆类型有差异，今年购置的公车价格低于去年</w:t>
      </w:r>
      <w:r>
        <w:rPr>
          <w:rFonts w:hint="eastAsia" w:ascii="仿宋_GB2312" w:hAnsi="仿宋_GB2312" w:eastAsia="仿宋_GB2312" w:cs="仿宋_GB2312"/>
          <w:snapToGrid w:val="0"/>
          <w:w w:val="95"/>
          <w:sz w:val="32"/>
          <w:szCs w:val="32"/>
          <w:highlight w:val="none"/>
        </w:rPr>
        <w:t>。</w:t>
      </w:r>
    </w:p>
    <w:p>
      <w:pPr>
        <w:keepNext w:val="0"/>
        <w:keepLines w:val="0"/>
        <w:pageBreakBefore w:val="0"/>
        <w:widowControl/>
        <w:kinsoku/>
        <w:wordWrap/>
        <w:overflowPunct/>
        <w:topLinePunct w:val="0"/>
        <w:autoSpaceDE/>
        <w:autoSpaceDN/>
        <w:bidi w:val="0"/>
        <w:adjustRightInd w:val="0"/>
        <w:snapToGrid w:val="0"/>
        <w:spacing w:line="560" w:lineRule="exact"/>
        <w:ind w:firstLine="608" w:firstLineChars="200"/>
        <w:jc w:val="both"/>
        <w:textAlignment w:val="auto"/>
        <w:rPr>
          <w:rFonts w:hint="eastAsia" w:ascii="仿宋_GB2312" w:hAnsi="仿宋_GB2312" w:eastAsia="仿宋_GB2312" w:cs="仿宋_GB2312"/>
          <w:snapToGrid w:val="0"/>
          <w:w w:val="95"/>
          <w:sz w:val="32"/>
          <w:szCs w:val="32"/>
          <w:highlight w:val="cyan"/>
          <w:lang w:eastAsia="zh-CN"/>
        </w:rPr>
      </w:pPr>
      <w:r>
        <w:rPr>
          <w:rFonts w:hint="eastAsia" w:ascii="仿宋_GB2312" w:hAnsi="仿宋_GB2312" w:eastAsia="仿宋_GB2312" w:cs="仿宋_GB2312"/>
          <w:snapToGrid w:val="0"/>
          <w:w w:val="95"/>
          <w:sz w:val="32"/>
          <w:szCs w:val="32"/>
          <w:highlight w:val="none"/>
        </w:rPr>
        <w:t>2.公务用车运行费。2021年度支出256.17万元，比</w:t>
      </w:r>
      <w:r>
        <w:rPr>
          <w:rFonts w:hint="eastAsia" w:ascii="仿宋_GB2312" w:hAnsi="仿宋_GB2312" w:eastAsia="仿宋_GB2312" w:cs="仿宋_GB2312"/>
          <w:sz w:val="32"/>
          <w:szCs w:val="32"/>
          <w:highlight w:val="none"/>
        </w:rPr>
        <w:t>上年增长</w:t>
      </w:r>
      <w:r>
        <w:rPr>
          <w:rFonts w:hint="eastAsia" w:ascii="仿宋_GB2312" w:hAnsi="仿宋_GB2312" w:eastAsia="仿宋_GB2312" w:cs="仿宋_GB2312"/>
          <w:sz w:val="32"/>
          <w:szCs w:val="32"/>
          <w:highlight w:val="none"/>
          <w:lang w:val="en-US" w:eastAsia="zh-CN"/>
        </w:rPr>
        <w:t>49.3</w:t>
      </w:r>
      <w:r>
        <w:rPr>
          <w:rFonts w:hint="eastAsia" w:ascii="仿宋_GB2312" w:hAnsi="仿宋_GB2312" w:eastAsia="仿宋_GB2312" w:cs="仿宋_GB2312"/>
          <w:sz w:val="32"/>
          <w:szCs w:val="32"/>
          <w:highlight w:val="none"/>
        </w:rPr>
        <w:t>万元，同比增长</w:t>
      </w:r>
      <w:r>
        <w:rPr>
          <w:rFonts w:hint="eastAsia" w:ascii="仿宋_GB2312" w:hAnsi="仿宋_GB2312" w:eastAsia="仿宋_GB2312" w:cs="仿宋_GB2312"/>
          <w:sz w:val="32"/>
          <w:szCs w:val="32"/>
          <w:highlight w:val="none"/>
          <w:lang w:val="en-US" w:eastAsia="zh-CN"/>
        </w:rPr>
        <w:t>23.83</w:t>
      </w:r>
      <w:r>
        <w:rPr>
          <w:rFonts w:hint="eastAsia" w:ascii="仿宋_GB2312" w:hAnsi="仿宋_GB2312" w:eastAsia="仿宋_GB2312" w:cs="仿宋_GB2312"/>
          <w:sz w:val="32"/>
          <w:szCs w:val="32"/>
          <w:highlight w:val="none"/>
        </w:rPr>
        <w:t>%，主要原因为</w:t>
      </w:r>
      <w:r>
        <w:rPr>
          <w:rFonts w:hint="eastAsia" w:ascii="仿宋_GB2312" w:hAnsi="仿宋_GB2312" w:eastAsia="仿宋_GB2312" w:cs="仿宋_GB2312"/>
          <w:sz w:val="32"/>
          <w:szCs w:val="32"/>
          <w:highlight w:val="none"/>
          <w:lang w:eastAsia="zh-CN"/>
        </w:rPr>
        <w:t>受我县地理因素和道路因素影响，</w:t>
      </w:r>
      <w:r>
        <w:rPr>
          <w:rFonts w:hint="eastAsia" w:ascii="仿宋_GB2312" w:hAnsi="仿宋_GB2312" w:eastAsia="仿宋_GB2312" w:cs="仿宋_GB2312"/>
          <w:sz w:val="32"/>
          <w:szCs w:val="32"/>
          <w:highlight w:val="none"/>
        </w:rPr>
        <w:t>单位公车</w:t>
      </w:r>
      <w:r>
        <w:rPr>
          <w:rFonts w:hint="eastAsia" w:ascii="仿宋_GB2312" w:hAnsi="仿宋_GB2312" w:eastAsia="仿宋_GB2312" w:cs="仿宋_GB2312"/>
          <w:sz w:val="32"/>
          <w:szCs w:val="32"/>
          <w:highlight w:val="none"/>
          <w:lang w:eastAsia="zh-CN"/>
        </w:rPr>
        <w:t>维修次数增加，今年因公出差次数增加，运行费用增加。</w:t>
      </w:r>
    </w:p>
    <w:p>
      <w:pPr>
        <w:keepNext w:val="0"/>
        <w:keepLines w:val="0"/>
        <w:pageBreakBefore w:val="0"/>
        <w:widowControl/>
        <w:kinsoku/>
        <w:wordWrap/>
        <w:overflowPunct/>
        <w:topLinePunct w:val="0"/>
        <w:autoSpaceDE/>
        <w:autoSpaceDN/>
        <w:bidi w:val="0"/>
        <w:adjustRightInd w:val="0"/>
        <w:snapToGrid w:val="0"/>
        <w:spacing w:line="560" w:lineRule="exact"/>
        <w:ind w:firstLine="608" w:firstLineChars="200"/>
        <w:jc w:val="both"/>
        <w:textAlignment w:val="auto"/>
        <w:rPr>
          <w:rFonts w:ascii="仿宋_GB2312" w:hAnsi="仿宋_GB2312" w:eastAsia="仿宋_GB2312" w:cs="仿宋_GB2312"/>
          <w:snapToGrid w:val="0"/>
          <w:w w:val="95"/>
          <w:sz w:val="32"/>
          <w:szCs w:val="32"/>
          <w:highlight w:val="cyan"/>
        </w:rPr>
      </w:pPr>
      <w:r>
        <w:rPr>
          <w:rFonts w:hint="eastAsia" w:ascii="楷体_GB2312" w:hAnsi="楷体_GB2312" w:eastAsia="楷体_GB2312" w:cs="楷体_GB2312"/>
          <w:snapToGrid w:val="0"/>
          <w:w w:val="95"/>
          <w:sz w:val="32"/>
          <w:szCs w:val="32"/>
          <w:highlight w:val="none"/>
        </w:rPr>
        <w:t>（3）公务接待费。</w:t>
      </w:r>
      <w:r>
        <w:rPr>
          <w:rFonts w:hint="eastAsia" w:ascii="仿宋_GB2312" w:hAnsi="仿宋_GB2312" w:eastAsia="仿宋_GB2312" w:cs="仿宋_GB2312"/>
          <w:snapToGrid w:val="0"/>
          <w:w w:val="95"/>
          <w:sz w:val="32"/>
          <w:szCs w:val="32"/>
          <w:highlight w:val="none"/>
        </w:rPr>
        <w:t>2021年度支出34.65万元，公务接待</w:t>
      </w:r>
      <w:r>
        <w:rPr>
          <w:rFonts w:hint="eastAsia" w:ascii="仿宋_GB2312" w:hAnsi="仿宋_GB2312" w:eastAsia="仿宋_GB2312" w:cs="仿宋_GB2312"/>
          <w:snapToGrid w:val="0"/>
          <w:w w:val="95"/>
          <w:sz w:val="32"/>
          <w:szCs w:val="32"/>
          <w:highlight w:val="none"/>
          <w:lang w:val="en-US" w:eastAsia="zh-CN"/>
        </w:rPr>
        <w:t>168</w:t>
      </w:r>
      <w:r>
        <w:rPr>
          <w:rFonts w:hint="eastAsia" w:ascii="仿宋_GB2312" w:hAnsi="仿宋_GB2312" w:eastAsia="仿宋_GB2312" w:cs="仿宋_GB2312"/>
          <w:snapToGrid w:val="0"/>
          <w:w w:val="95"/>
          <w:sz w:val="32"/>
          <w:szCs w:val="32"/>
          <w:highlight w:val="none"/>
        </w:rPr>
        <w:t>批次，</w:t>
      </w:r>
      <w:r>
        <w:rPr>
          <w:rFonts w:hint="eastAsia" w:ascii="仿宋_GB2312" w:hAnsi="仿宋_GB2312" w:eastAsia="仿宋_GB2312" w:cs="仿宋_GB2312"/>
          <w:snapToGrid w:val="0"/>
          <w:w w:val="95"/>
          <w:sz w:val="32"/>
          <w:szCs w:val="32"/>
          <w:highlight w:val="none"/>
          <w:lang w:val="en-US" w:eastAsia="zh-CN"/>
        </w:rPr>
        <w:t>2,959</w:t>
      </w:r>
      <w:r>
        <w:rPr>
          <w:rFonts w:hint="eastAsia" w:ascii="仿宋_GB2312" w:hAnsi="仿宋_GB2312" w:eastAsia="仿宋_GB2312" w:cs="仿宋_GB2312"/>
          <w:snapToGrid w:val="0"/>
          <w:w w:val="95"/>
          <w:sz w:val="32"/>
          <w:szCs w:val="32"/>
          <w:highlight w:val="none"/>
        </w:rPr>
        <w:t>人次。比上年增加</w:t>
      </w:r>
      <w:r>
        <w:rPr>
          <w:rFonts w:hint="eastAsia" w:ascii="仿宋_GB2312" w:hAnsi="仿宋_GB2312" w:eastAsia="仿宋_GB2312" w:cs="仿宋_GB2312"/>
          <w:snapToGrid w:val="0"/>
          <w:w w:val="95"/>
          <w:sz w:val="32"/>
          <w:szCs w:val="32"/>
          <w:highlight w:val="none"/>
          <w:lang w:val="en-US" w:eastAsia="zh-CN"/>
        </w:rPr>
        <w:t>0.46</w:t>
      </w:r>
      <w:r>
        <w:rPr>
          <w:rFonts w:hint="eastAsia" w:ascii="仿宋_GB2312" w:hAnsi="仿宋_GB2312" w:eastAsia="仿宋_GB2312" w:cs="仿宋_GB2312"/>
          <w:snapToGrid w:val="0"/>
          <w:w w:val="95"/>
          <w:sz w:val="32"/>
          <w:szCs w:val="32"/>
          <w:highlight w:val="none"/>
        </w:rPr>
        <w:t>万元，同比增长</w:t>
      </w:r>
      <w:r>
        <w:rPr>
          <w:rFonts w:hint="eastAsia" w:ascii="仿宋_GB2312" w:hAnsi="仿宋_GB2312" w:eastAsia="仿宋_GB2312" w:cs="仿宋_GB2312"/>
          <w:snapToGrid w:val="0"/>
          <w:w w:val="95"/>
          <w:sz w:val="32"/>
          <w:szCs w:val="32"/>
          <w:highlight w:val="none"/>
          <w:lang w:val="en-US" w:eastAsia="zh-CN"/>
        </w:rPr>
        <w:t>1.35</w:t>
      </w:r>
      <w:r>
        <w:rPr>
          <w:rFonts w:hint="eastAsia" w:ascii="仿宋_GB2312" w:hAnsi="仿宋_GB2312" w:eastAsia="仿宋_GB2312" w:cs="仿宋_GB2312"/>
          <w:snapToGrid w:val="0"/>
          <w:w w:val="95"/>
          <w:sz w:val="32"/>
          <w:szCs w:val="32"/>
          <w:highlight w:val="none"/>
        </w:rPr>
        <w:t>%。我单位</w:t>
      </w:r>
      <w:r>
        <w:rPr>
          <w:rFonts w:hint="eastAsia" w:ascii="仿宋_GB2312" w:hAnsi="仿宋_GB2312" w:eastAsia="仿宋_GB2312" w:cs="仿宋_GB2312"/>
          <w:snapToGrid w:val="0"/>
          <w:w w:val="95"/>
          <w:sz w:val="32"/>
          <w:szCs w:val="32"/>
          <w:highlight w:val="none"/>
          <w:lang w:eastAsia="zh-CN"/>
        </w:rPr>
        <w:t>将</w:t>
      </w:r>
      <w:r>
        <w:rPr>
          <w:rFonts w:hint="eastAsia" w:ascii="仿宋_GB2312" w:hAnsi="仿宋_GB2312" w:eastAsia="仿宋_GB2312" w:cs="仿宋_GB2312"/>
          <w:snapToGrid w:val="0"/>
          <w:w w:val="95"/>
          <w:sz w:val="32"/>
          <w:szCs w:val="32"/>
          <w:highlight w:val="none"/>
        </w:rPr>
        <w:t>按照公务接待相关要求，厉行勤俭节约严格控制不必要的公务接待费支出</w:t>
      </w:r>
      <w:r>
        <w:rPr>
          <w:rFonts w:hint="eastAsia" w:ascii="仿宋_GB2312" w:hAnsi="仿宋_GB2312" w:eastAsia="仿宋_GB2312" w:cs="仿宋_GB2312"/>
          <w:snapToGrid w:val="0"/>
          <w:w w:val="95"/>
          <w:sz w:val="32"/>
          <w:szCs w:val="32"/>
          <w:highlight w:val="none"/>
          <w:lang w:val="en-US" w:eastAsia="zh-CN"/>
        </w:rPr>
        <w:t>,所增长数额在控制范围内</w:t>
      </w:r>
      <w:r>
        <w:rPr>
          <w:rFonts w:hint="eastAsia" w:ascii="仿宋_GB2312" w:hAnsi="仿宋_GB2312" w:eastAsia="仿宋_GB2312" w:cs="仿宋_GB2312"/>
          <w:snapToGrid w:val="0"/>
          <w:w w:val="95"/>
          <w:sz w:val="32"/>
          <w:szCs w:val="32"/>
          <w:highlight w:val="none"/>
        </w:rPr>
        <w:t>。</w:t>
      </w:r>
    </w:p>
    <w:p>
      <w:pPr>
        <w:pStyle w:val="8"/>
        <w:keepNext w:val="0"/>
        <w:keepLines w:val="0"/>
        <w:pageBreakBefore w:val="0"/>
        <w:kinsoku/>
        <w:wordWrap/>
        <w:overflowPunct/>
        <w:topLinePunct w:val="0"/>
        <w:autoSpaceDE/>
        <w:autoSpaceDN/>
        <w:bidi w:val="0"/>
        <w:spacing w:line="560" w:lineRule="exact"/>
        <w:ind w:firstLine="640"/>
        <w:jc w:val="both"/>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八、政府性基金预算财政拨款收入支出决算情况说明</w:t>
      </w:r>
    </w:p>
    <w:p>
      <w:pPr>
        <w:pStyle w:val="8"/>
        <w:keepNext w:val="0"/>
        <w:keepLines w:val="0"/>
        <w:pageBreakBefore w:val="0"/>
        <w:kinsoku/>
        <w:wordWrap/>
        <w:overflowPunct/>
        <w:topLinePunct w:val="0"/>
        <w:autoSpaceDE/>
        <w:autoSpaceDN/>
        <w:bidi w:val="0"/>
        <w:spacing w:line="560" w:lineRule="exact"/>
        <w:ind w:firstLine="640"/>
        <w:jc w:val="both"/>
        <w:textAlignment w:val="auto"/>
        <w:rPr>
          <w:rFonts w:hint="eastAsia" w:ascii="仿宋_GB2312" w:hAnsi="仿宋_GB2312" w:eastAsia="仿宋_GB2312" w:cs="仿宋_GB2312"/>
          <w:snapToGrid w:val="0"/>
          <w:w w:val="95"/>
          <w:sz w:val="32"/>
          <w:szCs w:val="32"/>
        </w:rPr>
      </w:pPr>
      <w:r>
        <w:rPr>
          <w:rFonts w:hint="eastAsia" w:ascii="仿宋_GB2312" w:hAnsi="仿宋_GB2312" w:eastAsia="仿宋_GB2312" w:cs="仿宋_GB2312"/>
          <w:sz w:val="32"/>
          <w:szCs w:val="32"/>
        </w:rPr>
        <w:t>2021年度政府性基金预算财政拨款收入0万元，</w:t>
      </w:r>
      <w:r>
        <w:rPr>
          <w:rFonts w:hint="eastAsia" w:ascii="仿宋_GB2312" w:hAnsi="仿宋_GB2312" w:eastAsia="仿宋_GB2312" w:cs="仿宋_GB2312"/>
          <w:snapToGrid w:val="0"/>
          <w:w w:val="95"/>
          <w:sz w:val="32"/>
          <w:szCs w:val="32"/>
        </w:rPr>
        <w:t>与上年持平，与预算数持平。</w:t>
      </w:r>
    </w:p>
    <w:p>
      <w:pPr>
        <w:pStyle w:val="8"/>
        <w:keepNext w:val="0"/>
        <w:keepLines w:val="0"/>
        <w:pageBreakBefore w:val="0"/>
        <w:numPr>
          <w:ilvl w:val="0"/>
          <w:numId w:val="3"/>
        </w:numPr>
        <w:kinsoku/>
        <w:wordWrap/>
        <w:overflowPunct/>
        <w:topLinePunct w:val="0"/>
        <w:autoSpaceDE/>
        <w:autoSpaceDN/>
        <w:bidi w:val="0"/>
        <w:spacing w:line="560" w:lineRule="exact"/>
        <w:ind w:left="638" w:leftChars="304" w:firstLine="0" w:firstLineChars="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国有资本经营预算财政拨款支出决算情况说明</w:t>
      </w:r>
    </w:p>
    <w:p>
      <w:pPr>
        <w:pStyle w:val="8"/>
        <w:keepNext w:val="0"/>
        <w:keepLines w:val="0"/>
        <w:pageBreakBefore w:val="0"/>
        <w:numPr>
          <w:ilvl w:val="0"/>
          <w:numId w:val="0"/>
        </w:numPr>
        <w:kinsoku/>
        <w:wordWrap/>
        <w:overflowPunct/>
        <w:topLinePunct w:val="0"/>
        <w:autoSpaceDE/>
        <w:autoSpaceDN/>
        <w:bidi w:val="0"/>
        <w:spacing w:line="560" w:lineRule="exact"/>
        <w:ind w:firstLine="640" w:firstLineChars="200"/>
        <w:jc w:val="both"/>
        <w:textAlignment w:val="auto"/>
        <w:rPr>
          <w:rFonts w:ascii="仿宋_GB2312" w:hAnsi="仿宋_GB2312" w:eastAsia="仿宋_GB2312" w:cs="仿宋_GB2312"/>
          <w:b/>
          <w:bCs/>
          <w:sz w:val="32"/>
          <w:szCs w:val="32"/>
        </w:rPr>
      </w:pPr>
      <w:r>
        <w:rPr>
          <w:rFonts w:hint="eastAsia" w:ascii="仿宋_GB2312" w:hAnsi="仿宋_GB2312" w:eastAsia="仿宋_GB2312" w:cs="仿宋_GB2312"/>
          <w:sz w:val="32"/>
          <w:szCs w:val="32"/>
        </w:rPr>
        <w:t>2021年度国有资本经营预算财政拨款支出为0万元，</w:t>
      </w:r>
      <w:r>
        <w:rPr>
          <w:rFonts w:hint="eastAsia" w:ascii="仿宋_GB2312" w:hAnsi="仿宋_GB2312" w:eastAsia="仿宋_GB2312" w:cs="仿宋_GB2312"/>
          <w:snapToGrid w:val="0"/>
          <w:w w:val="95"/>
          <w:sz w:val="32"/>
          <w:szCs w:val="32"/>
        </w:rPr>
        <w:t>与上年持平，与预算数持平。</w:t>
      </w:r>
    </w:p>
    <w:p>
      <w:pPr>
        <w:keepNext w:val="0"/>
        <w:keepLines w:val="0"/>
        <w:pageBreakBefore w:val="0"/>
        <w:kinsoku/>
        <w:wordWrap/>
        <w:overflowPunct/>
        <w:topLinePunct w:val="0"/>
        <w:autoSpaceDE/>
        <w:autoSpaceDN/>
        <w:bidi w:val="0"/>
        <w:spacing w:line="560" w:lineRule="exact"/>
        <w:ind w:firstLine="643" w:firstLineChars="200"/>
        <w:jc w:val="both"/>
        <w:textAlignment w:val="auto"/>
        <w:rPr>
          <w:rFonts w:ascii="仿宋_GB2312" w:hAnsi="仿宋_GB2312" w:eastAsia="仿宋_GB2312" w:cs="仿宋_GB2312"/>
          <w:snapToGrid w:val="0"/>
          <w:w w:val="95"/>
          <w:sz w:val="32"/>
          <w:szCs w:val="32"/>
          <w:highlight w:val="none"/>
        </w:rPr>
      </w:pPr>
      <w:r>
        <w:rPr>
          <w:rFonts w:hint="eastAsia" w:ascii="仿宋_GB2312" w:eastAsia="仿宋_GB2312"/>
          <w:b/>
          <w:bCs/>
          <w:sz w:val="32"/>
          <w:szCs w:val="32"/>
          <w:highlight w:val="none"/>
        </w:rPr>
        <w:t>十、其他重要事项情况说明</w:t>
      </w:r>
    </w:p>
    <w:p>
      <w:pPr>
        <w:keepNext w:val="0"/>
        <w:keepLines w:val="0"/>
        <w:pageBreakBefore w:val="0"/>
        <w:kinsoku/>
        <w:wordWrap/>
        <w:overflowPunct/>
        <w:topLinePunct w:val="0"/>
        <w:autoSpaceDE/>
        <w:autoSpaceDN/>
        <w:bidi w:val="0"/>
        <w:spacing w:line="560" w:lineRule="exact"/>
        <w:ind w:firstLine="480" w:firstLineChars="150"/>
        <w:jc w:val="both"/>
        <w:textAlignment w:val="auto"/>
        <w:rPr>
          <w:rFonts w:ascii="仿宋_GB2312" w:eastAsia="仿宋_GB2312"/>
          <w:sz w:val="32"/>
          <w:szCs w:val="32"/>
        </w:rPr>
      </w:pPr>
      <w:r>
        <w:rPr>
          <w:rFonts w:hint="eastAsia" w:ascii="楷体_GB2312" w:hAnsi="楷体_GB2312" w:eastAsia="楷体_GB2312" w:cs="楷体_GB2312"/>
          <w:sz w:val="32"/>
          <w:szCs w:val="32"/>
        </w:rPr>
        <w:t>（一）机关运行经费执行情况说明。</w:t>
      </w:r>
      <w:r>
        <w:rPr>
          <w:rFonts w:hint="eastAsia" w:ascii="仿宋_GB2312" w:eastAsia="仿宋_GB2312"/>
          <w:sz w:val="32"/>
          <w:szCs w:val="32"/>
        </w:rPr>
        <w:t>2021年度机关运行经费支出</w:t>
      </w:r>
      <w:r>
        <w:rPr>
          <w:rFonts w:hint="eastAsia" w:ascii="仿宋_GB2312" w:eastAsia="仿宋_GB2312"/>
          <w:sz w:val="32"/>
          <w:szCs w:val="32"/>
          <w:lang w:val="en-US" w:eastAsia="zh-CN"/>
        </w:rPr>
        <w:t>0</w:t>
      </w:r>
      <w:r>
        <w:rPr>
          <w:rFonts w:hint="eastAsia" w:ascii="仿宋_GB2312" w:eastAsia="仿宋_GB2312"/>
          <w:sz w:val="32"/>
          <w:szCs w:val="32"/>
        </w:rPr>
        <w:t>万元，比上年增长</w:t>
      </w:r>
      <w:r>
        <w:rPr>
          <w:rFonts w:hint="eastAsia" w:ascii="仿宋_GB2312" w:hAnsi="仿宋_GB2312" w:eastAsia="仿宋_GB2312" w:cs="仿宋_GB2312"/>
          <w:sz w:val="32"/>
          <w:szCs w:val="32"/>
          <w:lang w:val="en-US" w:eastAsia="zh-CN"/>
        </w:rPr>
        <w:t>0</w:t>
      </w:r>
      <w:r>
        <w:rPr>
          <w:rFonts w:hint="eastAsia" w:ascii="仿宋_GB2312" w:eastAsia="仿宋_GB2312"/>
          <w:sz w:val="32"/>
          <w:szCs w:val="32"/>
        </w:rPr>
        <w:t>万元，同比增长</w:t>
      </w:r>
      <w:r>
        <w:rPr>
          <w:rFonts w:hint="eastAsia" w:ascii="仿宋_GB2312" w:eastAsia="仿宋_GB2312"/>
          <w:sz w:val="32"/>
          <w:szCs w:val="32"/>
          <w:lang w:val="en-US" w:eastAsia="zh-CN"/>
        </w:rPr>
        <w:t>0</w:t>
      </w:r>
      <w:r>
        <w:rPr>
          <w:rFonts w:hint="eastAsia" w:ascii="仿宋_GB2312" w:eastAsia="仿宋_GB2312"/>
          <w:sz w:val="32"/>
          <w:szCs w:val="32"/>
        </w:rPr>
        <w:t>%。</w:t>
      </w:r>
    </w:p>
    <w:p>
      <w:pPr>
        <w:keepNext w:val="0"/>
        <w:keepLines w:val="0"/>
        <w:pageBreakBefore w:val="0"/>
        <w:kinsoku/>
        <w:wordWrap/>
        <w:overflowPunct/>
        <w:topLinePunct w:val="0"/>
        <w:autoSpaceDE/>
        <w:autoSpaceDN/>
        <w:bidi w:val="0"/>
        <w:spacing w:line="560" w:lineRule="exact"/>
        <w:ind w:firstLine="480" w:firstLineChars="150"/>
        <w:jc w:val="both"/>
        <w:textAlignment w:val="auto"/>
        <w:rPr>
          <w:rFonts w:ascii="楷体_GB2312" w:hAnsi="楷体_GB2312" w:eastAsia="仿宋_GB2312" w:cs="楷体_GB2312"/>
          <w:sz w:val="32"/>
          <w:szCs w:val="32"/>
        </w:rPr>
      </w:pPr>
      <w:r>
        <w:rPr>
          <w:rFonts w:hint="eastAsia" w:ascii="楷体_GB2312" w:hAnsi="楷体_GB2312" w:eastAsia="楷体_GB2312" w:cs="楷体_GB2312"/>
          <w:sz w:val="32"/>
          <w:szCs w:val="32"/>
        </w:rPr>
        <w:t>（二）政府采购支出情况说明。</w:t>
      </w:r>
      <w:r>
        <w:rPr>
          <w:rFonts w:hint="eastAsia" w:ascii="仿宋_GB2312" w:eastAsia="仿宋_GB2312"/>
          <w:sz w:val="32"/>
          <w:szCs w:val="32"/>
        </w:rPr>
        <w:t>2021年度政府采购支出</w:t>
      </w:r>
      <w:r>
        <w:rPr>
          <w:rFonts w:hint="eastAsia" w:ascii="仿宋_GB2312" w:eastAsia="仿宋_GB2312"/>
          <w:sz w:val="32"/>
          <w:szCs w:val="32"/>
          <w:lang w:val="en-US" w:eastAsia="zh-CN"/>
        </w:rPr>
        <w:t>4,205.73</w:t>
      </w:r>
      <w:r>
        <w:rPr>
          <w:rFonts w:hint="eastAsia" w:ascii="仿宋_GB2312" w:eastAsia="仿宋_GB2312"/>
          <w:sz w:val="32"/>
          <w:szCs w:val="32"/>
        </w:rPr>
        <w:t>万元，其中：政府采购货物支出</w:t>
      </w:r>
      <w:r>
        <w:rPr>
          <w:rFonts w:hint="eastAsia" w:ascii="仿宋_GB2312" w:eastAsia="仿宋_GB2312"/>
          <w:sz w:val="32"/>
          <w:szCs w:val="32"/>
          <w:lang w:val="en-US" w:eastAsia="zh-CN"/>
        </w:rPr>
        <w:t>4,205.73</w:t>
      </w:r>
      <w:r>
        <w:rPr>
          <w:rFonts w:hint="eastAsia" w:ascii="仿宋_GB2312" w:eastAsia="仿宋_GB2312"/>
          <w:sz w:val="32"/>
          <w:szCs w:val="32"/>
        </w:rPr>
        <w:t>万元，政府采购工程支出0万元，政府采购服务支出0万元。</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ascii="仿宋_GB2312" w:hAnsi="仿宋_GB2312" w:eastAsia="仿宋_GB2312" w:cs="仿宋_GB2312"/>
          <w:sz w:val="32"/>
          <w:szCs w:val="32"/>
          <w:highlight w:val="none"/>
        </w:rPr>
      </w:pPr>
      <w:r>
        <w:rPr>
          <w:rFonts w:hint="eastAsia" w:ascii="楷体_GB2312" w:hAnsi="楷体_GB2312" w:eastAsia="楷体_GB2312" w:cs="楷体_GB2312"/>
          <w:sz w:val="32"/>
          <w:szCs w:val="32"/>
          <w:highlight w:val="none"/>
        </w:rPr>
        <w:t>（三）国有资产占用情况说明。</w:t>
      </w:r>
      <w:r>
        <w:rPr>
          <w:rFonts w:hint="eastAsia" w:ascii="仿宋_GB2312" w:hAnsi="仿宋_GB2312" w:eastAsia="仿宋_GB2312" w:cs="仿宋_GB2312"/>
          <w:sz w:val="32"/>
          <w:szCs w:val="32"/>
          <w:highlight w:val="none"/>
        </w:rPr>
        <w:t>截至2021年12月31日，本部门共有车辆</w:t>
      </w:r>
      <w:r>
        <w:rPr>
          <w:rFonts w:hint="eastAsia" w:ascii="仿宋_GB2312" w:hAnsi="仿宋_GB2312" w:eastAsia="仿宋_GB2312" w:cs="仿宋_GB2312"/>
          <w:kern w:val="0"/>
          <w:sz w:val="32"/>
          <w:szCs w:val="32"/>
          <w:highlight w:val="none"/>
          <w:lang w:val="en-US" w:eastAsia="zh-CN"/>
        </w:rPr>
        <w:t>17</w:t>
      </w:r>
      <w:r>
        <w:rPr>
          <w:rFonts w:hint="eastAsia" w:ascii="仿宋_GB2312" w:hAnsi="仿宋_GB2312" w:eastAsia="仿宋_GB2312" w:cs="仿宋_GB2312"/>
          <w:sz w:val="32"/>
          <w:szCs w:val="32"/>
          <w:highlight w:val="none"/>
        </w:rPr>
        <w:t>辆，其中：一般公务用车</w:t>
      </w:r>
      <w:r>
        <w:rPr>
          <w:rFonts w:hint="eastAsia" w:ascii="仿宋_GB2312" w:hAnsi="仿宋_GB2312" w:eastAsia="仿宋_GB2312" w:cs="仿宋_GB2312"/>
          <w:sz w:val="32"/>
          <w:szCs w:val="32"/>
          <w:highlight w:val="none"/>
          <w:lang w:val="en-US" w:eastAsia="zh-CN"/>
        </w:rPr>
        <w:t>16</w:t>
      </w:r>
      <w:r>
        <w:rPr>
          <w:rFonts w:hint="eastAsia" w:ascii="仿宋_GB2312" w:hAnsi="仿宋_GB2312" w:eastAsia="仿宋_GB2312" w:cs="仿宋_GB2312"/>
          <w:sz w:val="32"/>
          <w:szCs w:val="32"/>
          <w:highlight w:val="none"/>
        </w:rPr>
        <w:t>辆、机要通信用车0辆、应急保障用车0辆、执法执勤用车0辆、其他用车</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辆、单价50万元（含）以上的通用设备0台（套）、单价100万元（含）以上的专用设备0台（套）。</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（四）重点绩效评价结果等预算绩效情况说明。</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根据预算绩效管理要求，察隅县政府后勤已按要求编制整体支出绩效目标，并围绕政策落实、年度计划实施、重点工作任务和重大项目开展以及资金管理使用等情况，开展整体支出绩效自评</w:t>
      </w:r>
      <w:bookmarkStart w:id="0" w:name="_GoBack"/>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详见附件</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w:t>
      </w:r>
      <w:bookmarkEnd w:id="0"/>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（五）重点、重大项目信息说明。</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2021年度察隅县政府后勤无重点、重大项目信息。</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仿宋_GB2312" w:eastAsia="仿宋_GB2312"/>
          <w:sz w:val="32"/>
          <w:szCs w:val="32"/>
        </w:rPr>
      </w:pPr>
    </w:p>
    <w:p>
      <w:pPr>
        <w:keepNext w:val="0"/>
        <w:keepLines w:val="0"/>
        <w:pageBreakBefore w:val="0"/>
        <w:kinsoku/>
        <w:wordWrap/>
        <w:overflowPunct/>
        <w:topLinePunct w:val="0"/>
        <w:autoSpaceDE/>
        <w:autoSpaceDN/>
        <w:bidi w:val="0"/>
        <w:spacing w:line="560" w:lineRule="exact"/>
        <w:ind w:left="480"/>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第四部分 名词解释</w:t>
      </w:r>
    </w:p>
    <w:p>
      <w:pPr>
        <w:keepNext w:val="0"/>
        <w:keepLines w:val="0"/>
        <w:pageBreakBefore w:val="0"/>
        <w:kinsoku/>
        <w:wordWrap/>
        <w:overflowPunct/>
        <w:topLinePunct w:val="0"/>
        <w:autoSpaceDE/>
        <w:autoSpaceDN/>
        <w:bidi w:val="0"/>
        <w:spacing w:line="560" w:lineRule="exact"/>
        <w:ind w:firstLine="630" w:firstLineChars="196"/>
        <w:jc w:val="both"/>
        <w:textAlignment w:val="auto"/>
        <w:rPr>
          <w:rFonts w:hint="eastAsia" w:ascii="仿宋_GB2312" w:hAnsi="仿宋_GB2312" w:eastAsia="仿宋_GB2312" w:cs="仿宋_GB2312"/>
          <w:b/>
          <w:sz w:val="32"/>
          <w:szCs w:val="32"/>
        </w:rPr>
      </w:pPr>
    </w:p>
    <w:p>
      <w:pPr>
        <w:keepNext w:val="0"/>
        <w:keepLines w:val="0"/>
        <w:pageBreakBefore w:val="0"/>
        <w:kinsoku/>
        <w:wordWrap/>
        <w:overflowPunct/>
        <w:topLinePunct w:val="0"/>
        <w:autoSpaceDE/>
        <w:autoSpaceDN/>
        <w:bidi w:val="0"/>
        <w:spacing w:line="560" w:lineRule="exact"/>
        <w:ind w:firstLine="630" w:firstLineChars="196"/>
        <w:jc w:val="both"/>
        <w:textAlignment w:val="auto"/>
        <w:rPr>
          <w:rFonts w:ascii="仿宋_GB2312" w:hAnsi="仿宋_GB2312" w:eastAsia="仿宋_GB2312" w:cs="仿宋_GB2312"/>
          <w:sz w:val="32"/>
          <w:szCs w:val="32"/>
        </w:rPr>
      </w:pPr>
      <w:r>
        <w:rPr>
          <w:rFonts w:hint="eastAsia" w:ascii="仿宋_GB2312" w:hAnsi="仿宋_GB2312" w:eastAsia="仿宋_GB2312" w:cs="仿宋_GB2312"/>
          <w:b/>
          <w:sz w:val="32"/>
          <w:szCs w:val="32"/>
        </w:rPr>
        <w:t>一、财政拨款收入：</w:t>
      </w:r>
      <w:r>
        <w:rPr>
          <w:rFonts w:hint="eastAsia" w:ascii="仿宋_GB2312" w:hAnsi="仿宋_GB2312" w:eastAsia="仿宋_GB2312" w:cs="仿宋_GB2312"/>
          <w:sz w:val="32"/>
          <w:szCs w:val="32"/>
        </w:rPr>
        <w:t>指财政当年拨付的资金。</w:t>
      </w:r>
    </w:p>
    <w:p>
      <w:pPr>
        <w:keepNext w:val="0"/>
        <w:keepLines w:val="0"/>
        <w:pageBreakBefore w:val="0"/>
        <w:kinsoku/>
        <w:wordWrap/>
        <w:overflowPunct/>
        <w:topLinePunct w:val="0"/>
        <w:autoSpaceDE/>
        <w:autoSpaceDN/>
        <w:bidi w:val="0"/>
        <w:spacing w:line="560" w:lineRule="exact"/>
        <w:ind w:firstLine="630" w:firstLineChars="196"/>
        <w:jc w:val="both"/>
        <w:textAlignment w:val="auto"/>
        <w:rPr>
          <w:rFonts w:ascii="仿宋_GB2312" w:hAnsi="仿宋_GB2312" w:eastAsia="仿宋_GB2312" w:cs="仿宋_GB2312"/>
          <w:sz w:val="32"/>
          <w:szCs w:val="32"/>
        </w:rPr>
      </w:pPr>
      <w:r>
        <w:rPr>
          <w:rFonts w:hint="eastAsia" w:ascii="仿宋_GB2312" w:hAnsi="仿宋_GB2312" w:eastAsia="仿宋_GB2312" w:cs="仿宋_GB2312"/>
          <w:b/>
          <w:sz w:val="32"/>
          <w:szCs w:val="32"/>
        </w:rPr>
        <w:t>二、其他收入：</w:t>
      </w:r>
      <w:r>
        <w:rPr>
          <w:rFonts w:hint="eastAsia" w:ascii="仿宋_GB2312" w:hAnsi="仿宋_GB2312" w:eastAsia="仿宋_GB2312" w:cs="仿宋_GB2312"/>
          <w:bCs/>
          <w:sz w:val="32"/>
          <w:szCs w:val="32"/>
        </w:rPr>
        <w:t>指预算单位在“财政拨款收入”、“事业收入”、“经营收入”之外取得的收入。主要是按规定使用的上级财政补助经费和历年政府采购结转经费。</w:t>
      </w:r>
    </w:p>
    <w:p>
      <w:pPr>
        <w:keepNext w:val="0"/>
        <w:keepLines w:val="0"/>
        <w:pageBreakBefore w:val="0"/>
        <w:kinsoku/>
        <w:wordWrap/>
        <w:overflowPunct/>
        <w:topLinePunct w:val="0"/>
        <w:autoSpaceDE/>
        <w:autoSpaceDN/>
        <w:bidi w:val="0"/>
        <w:spacing w:line="560" w:lineRule="exact"/>
        <w:ind w:firstLine="630" w:firstLineChars="196"/>
        <w:jc w:val="both"/>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三、一般公共服务支出：</w:t>
      </w:r>
      <w:r>
        <w:rPr>
          <w:rFonts w:hint="eastAsia" w:ascii="仿宋_GB2312" w:hAnsi="仿宋_GB2312" w:eastAsia="仿宋_GB2312" w:cs="仿宋_GB2312"/>
          <w:sz w:val="32"/>
          <w:szCs w:val="32"/>
        </w:rPr>
        <w:t>反应政府提供一般公共服务的支出。</w:t>
      </w:r>
    </w:p>
    <w:p>
      <w:pPr>
        <w:keepNext w:val="0"/>
        <w:keepLines w:val="0"/>
        <w:pageBreakBefore w:val="0"/>
        <w:kinsoku/>
        <w:wordWrap/>
        <w:overflowPunct/>
        <w:topLinePunct w:val="0"/>
        <w:autoSpaceDE/>
        <w:autoSpaceDN/>
        <w:bidi w:val="0"/>
        <w:spacing w:line="560" w:lineRule="exact"/>
        <w:ind w:firstLine="630" w:firstLineChars="196"/>
        <w:jc w:val="both"/>
        <w:textAlignment w:val="auto"/>
        <w:rPr>
          <w:rFonts w:ascii="仿宋_GB2312" w:hAnsi="仿宋_GB2312" w:eastAsia="仿宋_GB2312" w:cs="仿宋_GB2312"/>
          <w:sz w:val="32"/>
          <w:szCs w:val="32"/>
        </w:rPr>
      </w:pPr>
      <w:r>
        <w:rPr>
          <w:rFonts w:hint="eastAsia" w:ascii="仿宋_GB2312" w:hAnsi="仿宋_GB2312" w:eastAsia="仿宋_GB2312" w:cs="仿宋_GB2312"/>
          <w:b/>
          <w:sz w:val="32"/>
          <w:szCs w:val="32"/>
        </w:rPr>
        <w:t>四、行政运行：</w:t>
      </w:r>
      <w:r>
        <w:rPr>
          <w:rFonts w:hint="eastAsia" w:ascii="仿宋_GB2312" w:hAnsi="仿宋_GB2312" w:eastAsia="仿宋_GB2312" w:cs="仿宋_GB2312"/>
          <w:sz w:val="32"/>
          <w:szCs w:val="32"/>
        </w:rPr>
        <w:t>指用于保障完成日常工作任务而发生的基本支出。</w:t>
      </w:r>
    </w:p>
    <w:p>
      <w:pPr>
        <w:keepNext w:val="0"/>
        <w:keepLines w:val="0"/>
        <w:pageBreakBefore w:val="0"/>
        <w:kinsoku/>
        <w:wordWrap/>
        <w:overflowPunct/>
        <w:topLinePunct w:val="0"/>
        <w:autoSpaceDE/>
        <w:autoSpaceDN/>
        <w:bidi w:val="0"/>
        <w:spacing w:line="560" w:lineRule="exact"/>
        <w:ind w:firstLine="630" w:firstLineChars="196"/>
        <w:jc w:val="both"/>
        <w:textAlignment w:val="auto"/>
        <w:rPr>
          <w:rFonts w:ascii="仿宋_GB2312" w:hAnsi="仿宋_GB2312" w:eastAsia="仿宋_GB2312" w:cs="仿宋_GB2312"/>
          <w:sz w:val="32"/>
          <w:szCs w:val="32"/>
        </w:rPr>
      </w:pPr>
      <w:r>
        <w:rPr>
          <w:rFonts w:hint="eastAsia" w:ascii="仿宋_GB2312" w:hAnsi="仿宋_GB2312" w:eastAsia="仿宋_GB2312" w:cs="仿宋_GB2312"/>
          <w:b/>
          <w:sz w:val="32"/>
          <w:szCs w:val="32"/>
        </w:rPr>
        <w:t>五、住房保障支出：</w:t>
      </w:r>
      <w:r>
        <w:rPr>
          <w:rFonts w:hint="eastAsia" w:ascii="仿宋_GB2312" w:hAnsi="仿宋_GB2312" w:eastAsia="仿宋_GB2312" w:cs="仿宋_GB2312"/>
          <w:sz w:val="32"/>
          <w:szCs w:val="32"/>
        </w:rPr>
        <w:t>指按照国家政策规定用于住房方面的支出。</w:t>
      </w:r>
    </w:p>
    <w:p>
      <w:pPr>
        <w:keepNext w:val="0"/>
        <w:keepLines w:val="0"/>
        <w:pageBreakBefore w:val="0"/>
        <w:kinsoku/>
        <w:wordWrap/>
        <w:overflowPunct/>
        <w:topLinePunct w:val="0"/>
        <w:autoSpaceDE/>
        <w:autoSpaceDN/>
        <w:bidi w:val="0"/>
        <w:spacing w:line="560" w:lineRule="exact"/>
        <w:ind w:firstLine="643"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b/>
          <w:sz w:val="32"/>
          <w:szCs w:val="32"/>
        </w:rPr>
        <w:t>六、基本支出：</w:t>
      </w:r>
      <w:r>
        <w:rPr>
          <w:rFonts w:hint="eastAsia" w:ascii="仿宋_GB2312" w:hAnsi="仿宋_GB2312" w:eastAsia="仿宋_GB2312" w:cs="仿宋_GB2312"/>
          <w:sz w:val="32"/>
          <w:szCs w:val="32"/>
        </w:rPr>
        <w:t>指为保障机构正常运转，完成日常工作任务而发生的人员支出（包括基本工资、津贴补贴等）和公用支出（包括办公费、邮电费、差旅费及印刷费等）。</w:t>
      </w:r>
    </w:p>
    <w:p>
      <w:pPr>
        <w:keepNext w:val="0"/>
        <w:keepLines w:val="0"/>
        <w:pageBreakBefore w:val="0"/>
        <w:kinsoku/>
        <w:wordWrap/>
        <w:overflowPunct/>
        <w:topLinePunct w:val="0"/>
        <w:autoSpaceDE/>
        <w:autoSpaceDN/>
        <w:bidi w:val="0"/>
        <w:spacing w:line="560" w:lineRule="exact"/>
        <w:ind w:firstLine="643"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b/>
          <w:sz w:val="32"/>
          <w:szCs w:val="32"/>
        </w:rPr>
        <w:t>七、项目支出，</w:t>
      </w:r>
      <w:r>
        <w:rPr>
          <w:rFonts w:hint="eastAsia" w:ascii="仿宋_GB2312" w:hAnsi="仿宋_GB2312" w:eastAsia="仿宋_GB2312" w:cs="仿宋_GB2312"/>
          <w:sz w:val="32"/>
          <w:szCs w:val="32"/>
        </w:rPr>
        <w:t>指在基本支出之外为完成特定行政任务和事业发展目标所发生的支出。</w:t>
      </w:r>
    </w:p>
    <w:p>
      <w:pPr>
        <w:keepNext w:val="0"/>
        <w:keepLines w:val="0"/>
        <w:pageBreakBefore w:val="0"/>
        <w:kinsoku/>
        <w:wordWrap/>
        <w:overflowPunct/>
        <w:topLinePunct w:val="0"/>
        <w:autoSpaceDE/>
        <w:autoSpaceDN/>
        <w:bidi w:val="0"/>
        <w:spacing w:line="560" w:lineRule="exact"/>
        <w:ind w:firstLine="643"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八、年末结转和结余：</w:t>
      </w:r>
      <w:r>
        <w:rPr>
          <w:rFonts w:hint="eastAsia" w:ascii="仿宋_GB2312" w:hAnsi="仿宋_GB2312" w:eastAsia="仿宋_GB2312" w:cs="仿宋_GB2312"/>
          <w:sz w:val="32"/>
          <w:szCs w:val="32"/>
        </w:rPr>
        <w:t>指本年度或以前年度预算安排，因客观条件发生变化无法按原计划实施，需要延迟到以后年度按有关规定继续使用的资金。</w:t>
      </w:r>
    </w:p>
    <w:p>
      <w:pPr>
        <w:keepNext w:val="0"/>
        <w:keepLines w:val="0"/>
        <w:pageBreakBefore w:val="0"/>
        <w:kinsoku/>
        <w:wordWrap/>
        <w:overflowPunct/>
        <w:topLinePunct w:val="0"/>
        <w:autoSpaceDE/>
        <w:autoSpaceDN/>
        <w:bidi w:val="0"/>
        <w:spacing w:line="560" w:lineRule="exact"/>
        <w:ind w:firstLine="643"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b/>
          <w:sz w:val="32"/>
          <w:szCs w:val="32"/>
        </w:rPr>
        <w:t>九、</w:t>
      </w:r>
      <w:r>
        <w:rPr>
          <w:rFonts w:ascii="仿宋_GB2312" w:hAnsi="仿宋_GB2312" w:eastAsia="仿宋_GB2312" w:cs="仿宋_GB2312"/>
          <w:b/>
          <w:sz w:val="32"/>
          <w:szCs w:val="32"/>
        </w:rPr>
        <w:t>“</w:t>
      </w:r>
      <w:r>
        <w:rPr>
          <w:rFonts w:hint="eastAsia" w:ascii="仿宋_GB2312" w:hAnsi="仿宋_GB2312" w:eastAsia="仿宋_GB2312" w:cs="仿宋_GB2312"/>
          <w:b/>
          <w:sz w:val="32"/>
          <w:szCs w:val="32"/>
        </w:rPr>
        <w:t>三公</w:t>
      </w:r>
      <w:r>
        <w:rPr>
          <w:rFonts w:ascii="仿宋_GB2312" w:hAnsi="仿宋_GB2312" w:eastAsia="仿宋_GB2312" w:cs="仿宋_GB2312"/>
          <w:b/>
          <w:sz w:val="32"/>
          <w:szCs w:val="32"/>
        </w:rPr>
        <w:t>”</w:t>
      </w:r>
      <w:r>
        <w:rPr>
          <w:rFonts w:hint="eastAsia" w:ascii="仿宋_GB2312" w:hAnsi="仿宋_GB2312" w:eastAsia="仿宋_GB2312" w:cs="仿宋_GB2312"/>
          <w:b/>
          <w:sz w:val="32"/>
          <w:szCs w:val="32"/>
        </w:rPr>
        <w:t>经费：</w:t>
      </w:r>
      <w:r>
        <w:rPr>
          <w:rFonts w:hint="eastAsia" w:ascii="仿宋_GB2312" w:hAnsi="仿宋_GB2312" w:eastAsia="仿宋_GB2312" w:cs="仿宋_GB2312"/>
          <w:sz w:val="32"/>
          <w:szCs w:val="32"/>
        </w:rPr>
        <w:t>指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keepNext w:val="0"/>
        <w:keepLines w:val="0"/>
        <w:pageBreakBefore w:val="0"/>
        <w:kinsoku/>
        <w:wordWrap/>
        <w:overflowPunct/>
        <w:topLinePunct w:val="0"/>
        <w:autoSpaceDE/>
        <w:autoSpaceDN/>
        <w:bidi w:val="0"/>
        <w:spacing w:line="560" w:lineRule="exact"/>
        <w:ind w:firstLine="630" w:firstLineChars="196"/>
        <w:jc w:val="both"/>
        <w:textAlignment w:val="auto"/>
        <w:rPr>
          <w:rFonts w:ascii="黑体" w:eastAsia="黑体"/>
          <w:sz w:val="32"/>
          <w:szCs w:val="32"/>
        </w:rPr>
      </w:pPr>
      <w:r>
        <w:rPr>
          <w:rFonts w:hint="eastAsia" w:ascii="仿宋_GB2312" w:hAnsi="仿宋_GB2312" w:eastAsia="仿宋_GB2312" w:cs="仿宋_GB2312"/>
          <w:b/>
          <w:sz w:val="32"/>
          <w:szCs w:val="32"/>
        </w:rPr>
        <w:t>十、机关运行经费，</w:t>
      </w:r>
      <w:r>
        <w:rPr>
          <w:rFonts w:hint="eastAsia" w:ascii="仿宋_GB2312" w:hAnsi="仿宋_GB2312" w:eastAsia="仿宋_GB2312" w:cs="仿宋_GB2312"/>
          <w:sz w:val="32"/>
          <w:szCs w:val="32"/>
        </w:rPr>
        <w:t>指为保障行政单位（包括参照公务员法管理的事业单位）运行用于购买货物和服务的各项资金，包括办公及印刷费、邮电费、差旅费、会议费、福利费、维修（护）费、专用材料及一般设备购置费、办公用房水电费、办公用房取暖费、办公用房物业管理费、公务用车运行维护费以及其他费用。</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p>
    <w:p>
      <w:pPr>
        <w:keepNext w:val="0"/>
        <w:keepLines w:val="0"/>
        <w:pageBreakBefore w:val="0"/>
        <w:kinsoku/>
        <w:wordWrap/>
        <w:overflowPunct/>
        <w:topLinePunct w:val="0"/>
        <w:autoSpaceDE/>
        <w:autoSpaceDN/>
        <w:bidi w:val="0"/>
        <w:spacing w:line="560" w:lineRule="exact"/>
        <w:ind w:left="480"/>
        <w:jc w:val="left"/>
        <w:textAlignment w:val="auto"/>
        <w:rPr>
          <w:rFonts w:ascii="黑体" w:eastAsia="黑体"/>
          <w:sz w:val="32"/>
          <w:szCs w:val="32"/>
        </w:rPr>
      </w:pPr>
    </w:p>
    <w:sectPr>
      <w:headerReference r:id="rId3" w:type="default"/>
      <w:footerReference r:id="rId4"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FangSong_GB2312">
    <w:altName w:val="仿宋_GB2312"/>
    <w:panose1 w:val="02010609060101010101"/>
    <w:charset w:val="86"/>
    <w:family w:val="modern"/>
    <w:pitch w:val="default"/>
    <w:sig w:usb0="00000000" w:usb1="00000000" w:usb2="0000001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4097" o:spid="_x0000_s4097"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2"/>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  \* MERGEFORMAT </w:instrText>
                </w:r>
                <w:r>
                  <w:rPr>
                    <w:rFonts w:hint="eastAsia" w:ascii="仿宋" w:hAnsi="仿宋" w:eastAsia="仿宋" w:cs="仿宋"/>
                    <w:sz w:val="24"/>
                    <w:szCs w:val="24"/>
                  </w:rPr>
                  <w:fldChar w:fldCharType="separate"/>
                </w:r>
                <w:r>
                  <w:rPr>
                    <w:rFonts w:ascii="仿宋" w:hAnsi="仿宋" w:eastAsia="仿宋" w:cs="仿宋"/>
                    <w:sz w:val="24"/>
                    <w:szCs w:val="24"/>
                  </w:rPr>
                  <w:t>- 5 -</w:t>
                </w:r>
                <w:r>
                  <w:rPr>
                    <w:rFonts w:hint="eastAsia" w:ascii="仿宋" w:hAnsi="仿宋" w:eastAsia="仿宋" w:cs="仿宋"/>
                    <w:sz w:val="24"/>
                    <w:szCs w:val="24"/>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008AFB"/>
    <w:multiLevelType w:val="singleLevel"/>
    <w:tmpl w:val="CF008AFB"/>
    <w:lvl w:ilvl="0" w:tentative="0">
      <w:start w:val="9"/>
      <w:numFmt w:val="chineseCounting"/>
      <w:suff w:val="nothing"/>
      <w:lvlText w:val="%1、"/>
      <w:lvlJc w:val="left"/>
      <w:rPr>
        <w:rFonts w:hint="eastAsia"/>
      </w:rPr>
    </w:lvl>
  </w:abstractNum>
  <w:abstractNum w:abstractNumId="1">
    <w:nsid w:val="F50EE010"/>
    <w:multiLevelType w:val="singleLevel"/>
    <w:tmpl w:val="F50EE010"/>
    <w:lvl w:ilvl="0" w:tentative="0">
      <w:start w:val="1"/>
      <w:numFmt w:val="decimal"/>
      <w:lvlText w:val="%1."/>
      <w:lvlJc w:val="left"/>
      <w:pPr>
        <w:tabs>
          <w:tab w:val="left" w:pos="312"/>
        </w:tabs>
      </w:pPr>
    </w:lvl>
  </w:abstractNum>
  <w:abstractNum w:abstractNumId="2">
    <w:nsid w:val="347EE069"/>
    <w:multiLevelType w:val="singleLevel"/>
    <w:tmpl w:val="347EE069"/>
    <w:lvl w:ilvl="0" w:tentative="0">
      <w:start w:val="1"/>
      <w:numFmt w:val="chineseCounting"/>
      <w:suff w:val="space"/>
      <w:lvlText w:val="第%1部分"/>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B05B8"/>
    <w:rsid w:val="00016C44"/>
    <w:rsid w:val="00043D60"/>
    <w:rsid w:val="00054E45"/>
    <w:rsid w:val="000607F3"/>
    <w:rsid w:val="00086A9F"/>
    <w:rsid w:val="0009057B"/>
    <w:rsid w:val="000A2894"/>
    <w:rsid w:val="000A5378"/>
    <w:rsid w:val="000B783F"/>
    <w:rsid w:val="000D0595"/>
    <w:rsid w:val="000D4985"/>
    <w:rsid w:val="00126EFE"/>
    <w:rsid w:val="001316D8"/>
    <w:rsid w:val="001317C0"/>
    <w:rsid w:val="0014514F"/>
    <w:rsid w:val="00157679"/>
    <w:rsid w:val="0018256F"/>
    <w:rsid w:val="00182F3B"/>
    <w:rsid w:val="001853F5"/>
    <w:rsid w:val="00192643"/>
    <w:rsid w:val="001C0F82"/>
    <w:rsid w:val="001C3A6C"/>
    <w:rsid w:val="001C5F53"/>
    <w:rsid w:val="001D7F86"/>
    <w:rsid w:val="001F3F40"/>
    <w:rsid w:val="0020740D"/>
    <w:rsid w:val="002105BA"/>
    <w:rsid w:val="0021393A"/>
    <w:rsid w:val="00220150"/>
    <w:rsid w:val="002261A9"/>
    <w:rsid w:val="00226CA4"/>
    <w:rsid w:val="00254134"/>
    <w:rsid w:val="00262EA0"/>
    <w:rsid w:val="00271B78"/>
    <w:rsid w:val="002817C5"/>
    <w:rsid w:val="00284ED4"/>
    <w:rsid w:val="00286E41"/>
    <w:rsid w:val="002A6A25"/>
    <w:rsid w:val="002C7AB7"/>
    <w:rsid w:val="002D72FE"/>
    <w:rsid w:val="002E7870"/>
    <w:rsid w:val="002F4A21"/>
    <w:rsid w:val="002F4B79"/>
    <w:rsid w:val="002F5DE7"/>
    <w:rsid w:val="0031038C"/>
    <w:rsid w:val="00320A35"/>
    <w:rsid w:val="0032333D"/>
    <w:rsid w:val="0036111C"/>
    <w:rsid w:val="003743EB"/>
    <w:rsid w:val="00381692"/>
    <w:rsid w:val="00382ED7"/>
    <w:rsid w:val="0038317D"/>
    <w:rsid w:val="00397491"/>
    <w:rsid w:val="0039795E"/>
    <w:rsid w:val="003B2CE5"/>
    <w:rsid w:val="003C5576"/>
    <w:rsid w:val="003D2184"/>
    <w:rsid w:val="00424DB7"/>
    <w:rsid w:val="00426560"/>
    <w:rsid w:val="00433ACE"/>
    <w:rsid w:val="004349E9"/>
    <w:rsid w:val="00440864"/>
    <w:rsid w:val="004652C4"/>
    <w:rsid w:val="0048613F"/>
    <w:rsid w:val="0048713A"/>
    <w:rsid w:val="00493967"/>
    <w:rsid w:val="004A2C48"/>
    <w:rsid w:val="004A3D10"/>
    <w:rsid w:val="004B3831"/>
    <w:rsid w:val="004C3C58"/>
    <w:rsid w:val="004D6DBC"/>
    <w:rsid w:val="004E4C77"/>
    <w:rsid w:val="00502C0D"/>
    <w:rsid w:val="00516720"/>
    <w:rsid w:val="00520B00"/>
    <w:rsid w:val="0052273C"/>
    <w:rsid w:val="00527B7F"/>
    <w:rsid w:val="00530DB1"/>
    <w:rsid w:val="005320AE"/>
    <w:rsid w:val="00546D0D"/>
    <w:rsid w:val="00547B87"/>
    <w:rsid w:val="00551770"/>
    <w:rsid w:val="005879F2"/>
    <w:rsid w:val="00591EDB"/>
    <w:rsid w:val="005931B7"/>
    <w:rsid w:val="005A6CDD"/>
    <w:rsid w:val="005C1A37"/>
    <w:rsid w:val="005C2AA8"/>
    <w:rsid w:val="005D7C94"/>
    <w:rsid w:val="005E75C1"/>
    <w:rsid w:val="00635666"/>
    <w:rsid w:val="0064191F"/>
    <w:rsid w:val="00642876"/>
    <w:rsid w:val="00645A80"/>
    <w:rsid w:val="0065270E"/>
    <w:rsid w:val="006548F7"/>
    <w:rsid w:val="00657A25"/>
    <w:rsid w:val="00675798"/>
    <w:rsid w:val="006773DE"/>
    <w:rsid w:val="006A4063"/>
    <w:rsid w:val="006A5CBC"/>
    <w:rsid w:val="006D4CCB"/>
    <w:rsid w:val="006E6A2B"/>
    <w:rsid w:val="0070214C"/>
    <w:rsid w:val="0070260A"/>
    <w:rsid w:val="00705358"/>
    <w:rsid w:val="00712AED"/>
    <w:rsid w:val="00730C30"/>
    <w:rsid w:val="00741A8B"/>
    <w:rsid w:val="007528F7"/>
    <w:rsid w:val="00777A2B"/>
    <w:rsid w:val="0078602E"/>
    <w:rsid w:val="007955C4"/>
    <w:rsid w:val="007A0806"/>
    <w:rsid w:val="007A62E0"/>
    <w:rsid w:val="007C43FB"/>
    <w:rsid w:val="007D01E9"/>
    <w:rsid w:val="007D5217"/>
    <w:rsid w:val="007E301B"/>
    <w:rsid w:val="008029FA"/>
    <w:rsid w:val="00805CE7"/>
    <w:rsid w:val="00812641"/>
    <w:rsid w:val="00815254"/>
    <w:rsid w:val="00821F41"/>
    <w:rsid w:val="008235BF"/>
    <w:rsid w:val="00835C20"/>
    <w:rsid w:val="00836944"/>
    <w:rsid w:val="00872F0E"/>
    <w:rsid w:val="00886BE8"/>
    <w:rsid w:val="008B2AA9"/>
    <w:rsid w:val="008B6FD9"/>
    <w:rsid w:val="008B7FDB"/>
    <w:rsid w:val="008C052F"/>
    <w:rsid w:val="008E7B46"/>
    <w:rsid w:val="00900172"/>
    <w:rsid w:val="009028C4"/>
    <w:rsid w:val="009033F7"/>
    <w:rsid w:val="00926570"/>
    <w:rsid w:val="009A2610"/>
    <w:rsid w:val="009A4D5A"/>
    <w:rsid w:val="009B0039"/>
    <w:rsid w:val="009B5EA4"/>
    <w:rsid w:val="009B775A"/>
    <w:rsid w:val="009D7E33"/>
    <w:rsid w:val="009E3CF4"/>
    <w:rsid w:val="009E6E04"/>
    <w:rsid w:val="009F4B7D"/>
    <w:rsid w:val="00A0051C"/>
    <w:rsid w:val="00A0582B"/>
    <w:rsid w:val="00A15F59"/>
    <w:rsid w:val="00A20FB5"/>
    <w:rsid w:val="00A26EDD"/>
    <w:rsid w:val="00A377C1"/>
    <w:rsid w:val="00A559DA"/>
    <w:rsid w:val="00A63A81"/>
    <w:rsid w:val="00A75588"/>
    <w:rsid w:val="00A8178C"/>
    <w:rsid w:val="00AB67E2"/>
    <w:rsid w:val="00AC462B"/>
    <w:rsid w:val="00AC775C"/>
    <w:rsid w:val="00AD7F12"/>
    <w:rsid w:val="00AE1B8B"/>
    <w:rsid w:val="00AE1D6D"/>
    <w:rsid w:val="00B059F0"/>
    <w:rsid w:val="00B07069"/>
    <w:rsid w:val="00B20D15"/>
    <w:rsid w:val="00B2450D"/>
    <w:rsid w:val="00B34B22"/>
    <w:rsid w:val="00B614C3"/>
    <w:rsid w:val="00B6564E"/>
    <w:rsid w:val="00B71650"/>
    <w:rsid w:val="00B716A8"/>
    <w:rsid w:val="00B87F89"/>
    <w:rsid w:val="00B971E2"/>
    <w:rsid w:val="00BA685C"/>
    <w:rsid w:val="00BB17A4"/>
    <w:rsid w:val="00BC3B74"/>
    <w:rsid w:val="00C0256A"/>
    <w:rsid w:val="00C2739C"/>
    <w:rsid w:val="00C36854"/>
    <w:rsid w:val="00C7306A"/>
    <w:rsid w:val="00C742B2"/>
    <w:rsid w:val="00C76D56"/>
    <w:rsid w:val="00C8046F"/>
    <w:rsid w:val="00C91B68"/>
    <w:rsid w:val="00C92C50"/>
    <w:rsid w:val="00CB141A"/>
    <w:rsid w:val="00CB44FA"/>
    <w:rsid w:val="00CC1D3A"/>
    <w:rsid w:val="00CD78D5"/>
    <w:rsid w:val="00D02168"/>
    <w:rsid w:val="00D06EA8"/>
    <w:rsid w:val="00D20F08"/>
    <w:rsid w:val="00D4141F"/>
    <w:rsid w:val="00D415ED"/>
    <w:rsid w:val="00D522A4"/>
    <w:rsid w:val="00D65A9E"/>
    <w:rsid w:val="00D71343"/>
    <w:rsid w:val="00D7224C"/>
    <w:rsid w:val="00D87458"/>
    <w:rsid w:val="00DA653D"/>
    <w:rsid w:val="00DB6465"/>
    <w:rsid w:val="00DC1B16"/>
    <w:rsid w:val="00DF56D0"/>
    <w:rsid w:val="00DF7D53"/>
    <w:rsid w:val="00E20BC6"/>
    <w:rsid w:val="00E30894"/>
    <w:rsid w:val="00E36848"/>
    <w:rsid w:val="00E43DB9"/>
    <w:rsid w:val="00E55176"/>
    <w:rsid w:val="00E56AF4"/>
    <w:rsid w:val="00E6504C"/>
    <w:rsid w:val="00E732E3"/>
    <w:rsid w:val="00E75F86"/>
    <w:rsid w:val="00E809B6"/>
    <w:rsid w:val="00E90E7B"/>
    <w:rsid w:val="00E93433"/>
    <w:rsid w:val="00EA30DA"/>
    <w:rsid w:val="00EB6438"/>
    <w:rsid w:val="00EE4400"/>
    <w:rsid w:val="00EE556F"/>
    <w:rsid w:val="00EE566D"/>
    <w:rsid w:val="00F24C6F"/>
    <w:rsid w:val="00F437D4"/>
    <w:rsid w:val="00F57203"/>
    <w:rsid w:val="00F82A28"/>
    <w:rsid w:val="00F9225B"/>
    <w:rsid w:val="00F93544"/>
    <w:rsid w:val="00F93BD0"/>
    <w:rsid w:val="00F95DE0"/>
    <w:rsid w:val="00FB05B8"/>
    <w:rsid w:val="00FB5134"/>
    <w:rsid w:val="00FB76B5"/>
    <w:rsid w:val="00FC022B"/>
    <w:rsid w:val="00FC5851"/>
    <w:rsid w:val="00FD5A71"/>
    <w:rsid w:val="00FE3A86"/>
    <w:rsid w:val="00FF04FB"/>
    <w:rsid w:val="01190754"/>
    <w:rsid w:val="01411BDE"/>
    <w:rsid w:val="014F743E"/>
    <w:rsid w:val="0160739F"/>
    <w:rsid w:val="0169219B"/>
    <w:rsid w:val="01AA5AC3"/>
    <w:rsid w:val="01C85711"/>
    <w:rsid w:val="0222460E"/>
    <w:rsid w:val="02406968"/>
    <w:rsid w:val="025847E8"/>
    <w:rsid w:val="0265089F"/>
    <w:rsid w:val="027065CD"/>
    <w:rsid w:val="027C5AE7"/>
    <w:rsid w:val="02D72CED"/>
    <w:rsid w:val="031F68D2"/>
    <w:rsid w:val="037E5F1D"/>
    <w:rsid w:val="03DA0031"/>
    <w:rsid w:val="03EC44F3"/>
    <w:rsid w:val="03F75390"/>
    <w:rsid w:val="03FD308D"/>
    <w:rsid w:val="03FD70A9"/>
    <w:rsid w:val="043B2C3A"/>
    <w:rsid w:val="04815BD5"/>
    <w:rsid w:val="05097677"/>
    <w:rsid w:val="05F80291"/>
    <w:rsid w:val="060825F0"/>
    <w:rsid w:val="063E3381"/>
    <w:rsid w:val="0643722A"/>
    <w:rsid w:val="065E21CA"/>
    <w:rsid w:val="06C727DE"/>
    <w:rsid w:val="06E8512E"/>
    <w:rsid w:val="06E97EA9"/>
    <w:rsid w:val="071E1426"/>
    <w:rsid w:val="07594DF7"/>
    <w:rsid w:val="077477A9"/>
    <w:rsid w:val="077949DE"/>
    <w:rsid w:val="07B34C51"/>
    <w:rsid w:val="080201B4"/>
    <w:rsid w:val="08207909"/>
    <w:rsid w:val="088439AF"/>
    <w:rsid w:val="08D031DD"/>
    <w:rsid w:val="08E30F54"/>
    <w:rsid w:val="0915429C"/>
    <w:rsid w:val="09213420"/>
    <w:rsid w:val="09383344"/>
    <w:rsid w:val="098E615B"/>
    <w:rsid w:val="09CD1DDE"/>
    <w:rsid w:val="09D23368"/>
    <w:rsid w:val="09F407D8"/>
    <w:rsid w:val="0A1E26CD"/>
    <w:rsid w:val="0A2F3C47"/>
    <w:rsid w:val="0A360900"/>
    <w:rsid w:val="0A4E1AEA"/>
    <w:rsid w:val="0A617FB0"/>
    <w:rsid w:val="0AE05687"/>
    <w:rsid w:val="0AE77AF1"/>
    <w:rsid w:val="0AF4222B"/>
    <w:rsid w:val="0AF7325D"/>
    <w:rsid w:val="0B1A11A3"/>
    <w:rsid w:val="0B4F32CB"/>
    <w:rsid w:val="0B720DAD"/>
    <w:rsid w:val="0B750500"/>
    <w:rsid w:val="0BCD4F1D"/>
    <w:rsid w:val="0BE71D4B"/>
    <w:rsid w:val="0BEC7BC1"/>
    <w:rsid w:val="0BED349F"/>
    <w:rsid w:val="0C190FDA"/>
    <w:rsid w:val="0C1E1F83"/>
    <w:rsid w:val="0C304BB0"/>
    <w:rsid w:val="0C5A6A4B"/>
    <w:rsid w:val="0C5B5F56"/>
    <w:rsid w:val="0CB33CF8"/>
    <w:rsid w:val="0CBB7325"/>
    <w:rsid w:val="0CF244E3"/>
    <w:rsid w:val="0D3F618D"/>
    <w:rsid w:val="0D5661A7"/>
    <w:rsid w:val="0D7C2323"/>
    <w:rsid w:val="0D82214C"/>
    <w:rsid w:val="0D8F357F"/>
    <w:rsid w:val="0DDC3C40"/>
    <w:rsid w:val="0DE407D7"/>
    <w:rsid w:val="0E0D73AC"/>
    <w:rsid w:val="0E202DD1"/>
    <w:rsid w:val="0E2065F0"/>
    <w:rsid w:val="0E341CF7"/>
    <w:rsid w:val="0E511891"/>
    <w:rsid w:val="0E5A45C9"/>
    <w:rsid w:val="0E751BD4"/>
    <w:rsid w:val="0E8D4346"/>
    <w:rsid w:val="0E9B4A5F"/>
    <w:rsid w:val="0EA0761E"/>
    <w:rsid w:val="0EA63A7E"/>
    <w:rsid w:val="0ED8222A"/>
    <w:rsid w:val="0EF20CDE"/>
    <w:rsid w:val="0F260AEC"/>
    <w:rsid w:val="0F313772"/>
    <w:rsid w:val="0F443A6F"/>
    <w:rsid w:val="0F6154A0"/>
    <w:rsid w:val="0F775EC7"/>
    <w:rsid w:val="0FC65547"/>
    <w:rsid w:val="0FCC34FC"/>
    <w:rsid w:val="0FED4320"/>
    <w:rsid w:val="102E66FD"/>
    <w:rsid w:val="106B4098"/>
    <w:rsid w:val="10E16DBA"/>
    <w:rsid w:val="10FE7208"/>
    <w:rsid w:val="111D5572"/>
    <w:rsid w:val="115616DD"/>
    <w:rsid w:val="11897E1C"/>
    <w:rsid w:val="11D37C66"/>
    <w:rsid w:val="11D71DB8"/>
    <w:rsid w:val="120E3A6C"/>
    <w:rsid w:val="1257313B"/>
    <w:rsid w:val="12601F0B"/>
    <w:rsid w:val="12730F78"/>
    <w:rsid w:val="127B7321"/>
    <w:rsid w:val="132E7FA6"/>
    <w:rsid w:val="133B537F"/>
    <w:rsid w:val="13A80387"/>
    <w:rsid w:val="13D7782C"/>
    <w:rsid w:val="13E9383C"/>
    <w:rsid w:val="1469705C"/>
    <w:rsid w:val="14EF7838"/>
    <w:rsid w:val="14F77C11"/>
    <w:rsid w:val="15131DF0"/>
    <w:rsid w:val="151C638B"/>
    <w:rsid w:val="15226909"/>
    <w:rsid w:val="15274957"/>
    <w:rsid w:val="154F5D4D"/>
    <w:rsid w:val="1594320F"/>
    <w:rsid w:val="15A75179"/>
    <w:rsid w:val="15EC5170"/>
    <w:rsid w:val="162A797C"/>
    <w:rsid w:val="16393AEE"/>
    <w:rsid w:val="165C1EC5"/>
    <w:rsid w:val="16F35772"/>
    <w:rsid w:val="17B7334E"/>
    <w:rsid w:val="17CD2403"/>
    <w:rsid w:val="17E937AE"/>
    <w:rsid w:val="17F51A87"/>
    <w:rsid w:val="181D48C4"/>
    <w:rsid w:val="18255DD6"/>
    <w:rsid w:val="183E4CDF"/>
    <w:rsid w:val="185B13AE"/>
    <w:rsid w:val="186A6D8D"/>
    <w:rsid w:val="18725C78"/>
    <w:rsid w:val="188C0ABD"/>
    <w:rsid w:val="18EB15EF"/>
    <w:rsid w:val="19234752"/>
    <w:rsid w:val="192B0B9A"/>
    <w:rsid w:val="192E320B"/>
    <w:rsid w:val="197856BC"/>
    <w:rsid w:val="19A95F55"/>
    <w:rsid w:val="19AA096B"/>
    <w:rsid w:val="19DC3CF4"/>
    <w:rsid w:val="1A065B37"/>
    <w:rsid w:val="1A1059E0"/>
    <w:rsid w:val="1A6105B6"/>
    <w:rsid w:val="1A707545"/>
    <w:rsid w:val="1A7B0FF9"/>
    <w:rsid w:val="1ACE64AB"/>
    <w:rsid w:val="1AEC2C50"/>
    <w:rsid w:val="1B057A41"/>
    <w:rsid w:val="1B367D8E"/>
    <w:rsid w:val="1B7109B6"/>
    <w:rsid w:val="1C0D3A85"/>
    <w:rsid w:val="1C93612C"/>
    <w:rsid w:val="1CAE2196"/>
    <w:rsid w:val="1CED0FE7"/>
    <w:rsid w:val="1D3163A1"/>
    <w:rsid w:val="1D323688"/>
    <w:rsid w:val="1D900082"/>
    <w:rsid w:val="1DCE5AB6"/>
    <w:rsid w:val="1DEB67E3"/>
    <w:rsid w:val="1DF65BA3"/>
    <w:rsid w:val="1E8C2CD6"/>
    <w:rsid w:val="1E9C03A8"/>
    <w:rsid w:val="1EC46953"/>
    <w:rsid w:val="1F352739"/>
    <w:rsid w:val="1F404C92"/>
    <w:rsid w:val="1F4A2C87"/>
    <w:rsid w:val="1F661C96"/>
    <w:rsid w:val="1F732CC3"/>
    <w:rsid w:val="1FBC2128"/>
    <w:rsid w:val="1FDC3875"/>
    <w:rsid w:val="1FF64AF5"/>
    <w:rsid w:val="20060581"/>
    <w:rsid w:val="201D4D0E"/>
    <w:rsid w:val="20316BA3"/>
    <w:rsid w:val="20615153"/>
    <w:rsid w:val="20784604"/>
    <w:rsid w:val="209A2193"/>
    <w:rsid w:val="20A27992"/>
    <w:rsid w:val="20AD33C0"/>
    <w:rsid w:val="20B014F7"/>
    <w:rsid w:val="20B047F8"/>
    <w:rsid w:val="20BB13C9"/>
    <w:rsid w:val="21344B4B"/>
    <w:rsid w:val="21357098"/>
    <w:rsid w:val="21471C6F"/>
    <w:rsid w:val="21B17A58"/>
    <w:rsid w:val="21B3797C"/>
    <w:rsid w:val="21C432E9"/>
    <w:rsid w:val="21DD2940"/>
    <w:rsid w:val="21DF1099"/>
    <w:rsid w:val="22264BFB"/>
    <w:rsid w:val="226E3F2F"/>
    <w:rsid w:val="228D60F6"/>
    <w:rsid w:val="22933B81"/>
    <w:rsid w:val="22EB43B9"/>
    <w:rsid w:val="23021452"/>
    <w:rsid w:val="23105FD7"/>
    <w:rsid w:val="232F0410"/>
    <w:rsid w:val="233A7A0A"/>
    <w:rsid w:val="238A6703"/>
    <w:rsid w:val="23AD4F2E"/>
    <w:rsid w:val="23E0752E"/>
    <w:rsid w:val="23ED07EB"/>
    <w:rsid w:val="240235FB"/>
    <w:rsid w:val="241033B9"/>
    <w:rsid w:val="24262A62"/>
    <w:rsid w:val="24633129"/>
    <w:rsid w:val="24767F4D"/>
    <w:rsid w:val="247C476A"/>
    <w:rsid w:val="24925309"/>
    <w:rsid w:val="24934D76"/>
    <w:rsid w:val="24B544A3"/>
    <w:rsid w:val="24C70A7D"/>
    <w:rsid w:val="24E207E3"/>
    <w:rsid w:val="24F401BB"/>
    <w:rsid w:val="24F63A00"/>
    <w:rsid w:val="255741FF"/>
    <w:rsid w:val="255C0953"/>
    <w:rsid w:val="25615BEB"/>
    <w:rsid w:val="25660E2E"/>
    <w:rsid w:val="258D7E8D"/>
    <w:rsid w:val="25994327"/>
    <w:rsid w:val="26046103"/>
    <w:rsid w:val="261F69B7"/>
    <w:rsid w:val="264A2E19"/>
    <w:rsid w:val="26974DED"/>
    <w:rsid w:val="26D57347"/>
    <w:rsid w:val="27980324"/>
    <w:rsid w:val="27F90679"/>
    <w:rsid w:val="281618C5"/>
    <w:rsid w:val="28247C87"/>
    <w:rsid w:val="28376E94"/>
    <w:rsid w:val="285828E5"/>
    <w:rsid w:val="28653502"/>
    <w:rsid w:val="287309F7"/>
    <w:rsid w:val="28746B4A"/>
    <w:rsid w:val="28CA0FE2"/>
    <w:rsid w:val="28D36E04"/>
    <w:rsid w:val="28D81DC2"/>
    <w:rsid w:val="291558A3"/>
    <w:rsid w:val="291B6ED0"/>
    <w:rsid w:val="29487BC6"/>
    <w:rsid w:val="29551ED8"/>
    <w:rsid w:val="29831A2D"/>
    <w:rsid w:val="298C2759"/>
    <w:rsid w:val="29A7505E"/>
    <w:rsid w:val="29DD7ED4"/>
    <w:rsid w:val="29FA6023"/>
    <w:rsid w:val="2A337514"/>
    <w:rsid w:val="2A753821"/>
    <w:rsid w:val="2A9F5C2C"/>
    <w:rsid w:val="2AED2707"/>
    <w:rsid w:val="2AEF68F9"/>
    <w:rsid w:val="2B220DAD"/>
    <w:rsid w:val="2B254799"/>
    <w:rsid w:val="2B4F3BB5"/>
    <w:rsid w:val="2B5D54E7"/>
    <w:rsid w:val="2B5E29B1"/>
    <w:rsid w:val="2C2529BD"/>
    <w:rsid w:val="2C82694E"/>
    <w:rsid w:val="2CA92E4F"/>
    <w:rsid w:val="2D01320C"/>
    <w:rsid w:val="2D21246F"/>
    <w:rsid w:val="2D3A646F"/>
    <w:rsid w:val="2D5B7474"/>
    <w:rsid w:val="2D7B6A45"/>
    <w:rsid w:val="2DA83E89"/>
    <w:rsid w:val="2DF41F4C"/>
    <w:rsid w:val="2E177979"/>
    <w:rsid w:val="2E331C8F"/>
    <w:rsid w:val="2E3C12F8"/>
    <w:rsid w:val="2E4A7695"/>
    <w:rsid w:val="2E61515A"/>
    <w:rsid w:val="2E6967E4"/>
    <w:rsid w:val="2E6F28BA"/>
    <w:rsid w:val="2E7D68FA"/>
    <w:rsid w:val="2EA1063B"/>
    <w:rsid w:val="2EE26B9D"/>
    <w:rsid w:val="2EEF239B"/>
    <w:rsid w:val="2F131B64"/>
    <w:rsid w:val="2F1A79B2"/>
    <w:rsid w:val="2F9031C9"/>
    <w:rsid w:val="2FCC70D8"/>
    <w:rsid w:val="2FDF60C1"/>
    <w:rsid w:val="307F76B3"/>
    <w:rsid w:val="30937487"/>
    <w:rsid w:val="30B85EDF"/>
    <w:rsid w:val="30E273D5"/>
    <w:rsid w:val="311B2E82"/>
    <w:rsid w:val="311F1E9F"/>
    <w:rsid w:val="31871F90"/>
    <w:rsid w:val="318B77B5"/>
    <w:rsid w:val="31A3609D"/>
    <w:rsid w:val="31BC6A83"/>
    <w:rsid w:val="31F8192B"/>
    <w:rsid w:val="32114431"/>
    <w:rsid w:val="322D2CB4"/>
    <w:rsid w:val="32504FCA"/>
    <w:rsid w:val="326A7DF0"/>
    <w:rsid w:val="32933866"/>
    <w:rsid w:val="32D108F1"/>
    <w:rsid w:val="33A73A6E"/>
    <w:rsid w:val="33A91A06"/>
    <w:rsid w:val="33D608B3"/>
    <w:rsid w:val="33EE45A0"/>
    <w:rsid w:val="341A178E"/>
    <w:rsid w:val="34360EE0"/>
    <w:rsid w:val="34520027"/>
    <w:rsid w:val="34524EB7"/>
    <w:rsid w:val="3455668C"/>
    <w:rsid w:val="345C23B7"/>
    <w:rsid w:val="348859FE"/>
    <w:rsid w:val="34DA4A3E"/>
    <w:rsid w:val="34E15892"/>
    <w:rsid w:val="3511435E"/>
    <w:rsid w:val="351B7DDA"/>
    <w:rsid w:val="355431A7"/>
    <w:rsid w:val="357525C9"/>
    <w:rsid w:val="35933AE6"/>
    <w:rsid w:val="35AB6C71"/>
    <w:rsid w:val="35C25411"/>
    <w:rsid w:val="35D25DC6"/>
    <w:rsid w:val="35ED61F6"/>
    <w:rsid w:val="36137A13"/>
    <w:rsid w:val="365C3E68"/>
    <w:rsid w:val="368E7BB6"/>
    <w:rsid w:val="3690385C"/>
    <w:rsid w:val="36AD40BA"/>
    <w:rsid w:val="37013B9F"/>
    <w:rsid w:val="3737610F"/>
    <w:rsid w:val="374D5432"/>
    <w:rsid w:val="37507B97"/>
    <w:rsid w:val="376800F7"/>
    <w:rsid w:val="37970C53"/>
    <w:rsid w:val="379F69E5"/>
    <w:rsid w:val="37DE233C"/>
    <w:rsid w:val="388E682B"/>
    <w:rsid w:val="38AC3C3A"/>
    <w:rsid w:val="38D3595B"/>
    <w:rsid w:val="39026D60"/>
    <w:rsid w:val="39417B25"/>
    <w:rsid w:val="397321E5"/>
    <w:rsid w:val="399120D1"/>
    <w:rsid w:val="39C24964"/>
    <w:rsid w:val="3A0E62A5"/>
    <w:rsid w:val="3A170417"/>
    <w:rsid w:val="3A657A4A"/>
    <w:rsid w:val="3A7F469D"/>
    <w:rsid w:val="3A9C47F5"/>
    <w:rsid w:val="3B4A7624"/>
    <w:rsid w:val="3BCC7916"/>
    <w:rsid w:val="3BD85C58"/>
    <w:rsid w:val="3C272250"/>
    <w:rsid w:val="3C5E58C4"/>
    <w:rsid w:val="3C720321"/>
    <w:rsid w:val="3C7A2CE2"/>
    <w:rsid w:val="3C7E7DD7"/>
    <w:rsid w:val="3CB4373A"/>
    <w:rsid w:val="3CEB7B3A"/>
    <w:rsid w:val="3CF303F6"/>
    <w:rsid w:val="3D0D61A5"/>
    <w:rsid w:val="3D2C717E"/>
    <w:rsid w:val="3D9F2932"/>
    <w:rsid w:val="3DC24A10"/>
    <w:rsid w:val="3E04466D"/>
    <w:rsid w:val="3E0502C1"/>
    <w:rsid w:val="3E3D5C2B"/>
    <w:rsid w:val="3EBA4C2E"/>
    <w:rsid w:val="3F131871"/>
    <w:rsid w:val="3F61072F"/>
    <w:rsid w:val="3F695B2B"/>
    <w:rsid w:val="3F796BD4"/>
    <w:rsid w:val="3F8A0ED3"/>
    <w:rsid w:val="3FA6594E"/>
    <w:rsid w:val="3FCE5511"/>
    <w:rsid w:val="3FE14580"/>
    <w:rsid w:val="400E1E38"/>
    <w:rsid w:val="402463CB"/>
    <w:rsid w:val="40524664"/>
    <w:rsid w:val="4085534C"/>
    <w:rsid w:val="408A0A24"/>
    <w:rsid w:val="409A53EB"/>
    <w:rsid w:val="40B777D3"/>
    <w:rsid w:val="40FF4699"/>
    <w:rsid w:val="412B1E92"/>
    <w:rsid w:val="413A6B31"/>
    <w:rsid w:val="4140798F"/>
    <w:rsid w:val="414E1C42"/>
    <w:rsid w:val="41517023"/>
    <w:rsid w:val="416E066D"/>
    <w:rsid w:val="41815E1D"/>
    <w:rsid w:val="42155935"/>
    <w:rsid w:val="423E4ED9"/>
    <w:rsid w:val="426E267A"/>
    <w:rsid w:val="43375BBF"/>
    <w:rsid w:val="435451D1"/>
    <w:rsid w:val="43960FD8"/>
    <w:rsid w:val="43D50FEC"/>
    <w:rsid w:val="43D910F0"/>
    <w:rsid w:val="43F62BC1"/>
    <w:rsid w:val="442706C9"/>
    <w:rsid w:val="4472703D"/>
    <w:rsid w:val="448F406F"/>
    <w:rsid w:val="44904E49"/>
    <w:rsid w:val="449C66AF"/>
    <w:rsid w:val="44C96627"/>
    <w:rsid w:val="44CB088F"/>
    <w:rsid w:val="44F57E99"/>
    <w:rsid w:val="45065B38"/>
    <w:rsid w:val="45150771"/>
    <w:rsid w:val="454476BE"/>
    <w:rsid w:val="454756A0"/>
    <w:rsid w:val="45507309"/>
    <w:rsid w:val="45847093"/>
    <w:rsid w:val="45B97A14"/>
    <w:rsid w:val="461B7A3A"/>
    <w:rsid w:val="46357C5E"/>
    <w:rsid w:val="4653609C"/>
    <w:rsid w:val="46CC256C"/>
    <w:rsid w:val="46E36A7D"/>
    <w:rsid w:val="47045DC3"/>
    <w:rsid w:val="475F1E00"/>
    <w:rsid w:val="47607E9B"/>
    <w:rsid w:val="477D0A2F"/>
    <w:rsid w:val="47A82FFD"/>
    <w:rsid w:val="47B701F5"/>
    <w:rsid w:val="47EB56E1"/>
    <w:rsid w:val="4849005D"/>
    <w:rsid w:val="48545ACA"/>
    <w:rsid w:val="48654977"/>
    <w:rsid w:val="488C6E75"/>
    <w:rsid w:val="48C321F4"/>
    <w:rsid w:val="48D151DA"/>
    <w:rsid w:val="48DE5B50"/>
    <w:rsid w:val="48E96C42"/>
    <w:rsid w:val="48FF0DFE"/>
    <w:rsid w:val="49224722"/>
    <w:rsid w:val="493542A7"/>
    <w:rsid w:val="49AD72D9"/>
    <w:rsid w:val="49B203F8"/>
    <w:rsid w:val="49BF2265"/>
    <w:rsid w:val="49CA4591"/>
    <w:rsid w:val="4A3C70C2"/>
    <w:rsid w:val="4A7879A9"/>
    <w:rsid w:val="4A7D48B5"/>
    <w:rsid w:val="4AE2074A"/>
    <w:rsid w:val="4AE35FAB"/>
    <w:rsid w:val="4B044DB0"/>
    <w:rsid w:val="4B5C3AED"/>
    <w:rsid w:val="4C172C77"/>
    <w:rsid w:val="4C2131E6"/>
    <w:rsid w:val="4C2E7F1D"/>
    <w:rsid w:val="4C7B3A6C"/>
    <w:rsid w:val="4C8009A3"/>
    <w:rsid w:val="4CA5688D"/>
    <w:rsid w:val="4CE73B0D"/>
    <w:rsid w:val="4D0647E6"/>
    <w:rsid w:val="4D385D01"/>
    <w:rsid w:val="4D3D6ABF"/>
    <w:rsid w:val="4D541C77"/>
    <w:rsid w:val="4D5B71EC"/>
    <w:rsid w:val="4D895B83"/>
    <w:rsid w:val="4DC14920"/>
    <w:rsid w:val="4E111275"/>
    <w:rsid w:val="4E2D74E1"/>
    <w:rsid w:val="4E6D094A"/>
    <w:rsid w:val="4E824F9D"/>
    <w:rsid w:val="4EA1250D"/>
    <w:rsid w:val="4EDD08E9"/>
    <w:rsid w:val="4EFC718B"/>
    <w:rsid w:val="4F0768BB"/>
    <w:rsid w:val="4F0E2BD0"/>
    <w:rsid w:val="4F114B96"/>
    <w:rsid w:val="4F2308EF"/>
    <w:rsid w:val="4F294268"/>
    <w:rsid w:val="4F480852"/>
    <w:rsid w:val="5034385D"/>
    <w:rsid w:val="5075485B"/>
    <w:rsid w:val="508839C8"/>
    <w:rsid w:val="508F2F25"/>
    <w:rsid w:val="50A510FB"/>
    <w:rsid w:val="50BD4938"/>
    <w:rsid w:val="50E13B71"/>
    <w:rsid w:val="51010F22"/>
    <w:rsid w:val="51104F77"/>
    <w:rsid w:val="51253E74"/>
    <w:rsid w:val="51384C9C"/>
    <w:rsid w:val="519B3F7B"/>
    <w:rsid w:val="51A96058"/>
    <w:rsid w:val="51B313CC"/>
    <w:rsid w:val="51BB3C0C"/>
    <w:rsid w:val="51E66290"/>
    <w:rsid w:val="521C7F8B"/>
    <w:rsid w:val="52647CD1"/>
    <w:rsid w:val="526F3518"/>
    <w:rsid w:val="531029AC"/>
    <w:rsid w:val="532A692B"/>
    <w:rsid w:val="533A041D"/>
    <w:rsid w:val="53F1227E"/>
    <w:rsid w:val="5423436B"/>
    <w:rsid w:val="54300A57"/>
    <w:rsid w:val="54DA571A"/>
    <w:rsid w:val="54F31C70"/>
    <w:rsid w:val="55427F71"/>
    <w:rsid w:val="557F73BB"/>
    <w:rsid w:val="55831B3D"/>
    <w:rsid w:val="55C16584"/>
    <w:rsid w:val="55C256B9"/>
    <w:rsid w:val="55EB25DA"/>
    <w:rsid w:val="55EC0C5F"/>
    <w:rsid w:val="55FD46C1"/>
    <w:rsid w:val="565F67C7"/>
    <w:rsid w:val="56A74288"/>
    <w:rsid w:val="56D42ADB"/>
    <w:rsid w:val="56E055F3"/>
    <w:rsid w:val="5711697C"/>
    <w:rsid w:val="57B15E3E"/>
    <w:rsid w:val="57CA4E16"/>
    <w:rsid w:val="582F3C6B"/>
    <w:rsid w:val="583C7C54"/>
    <w:rsid w:val="58405AF6"/>
    <w:rsid w:val="58454E73"/>
    <w:rsid w:val="586375C4"/>
    <w:rsid w:val="58670BFF"/>
    <w:rsid w:val="588474F5"/>
    <w:rsid w:val="58D14BAA"/>
    <w:rsid w:val="58F41895"/>
    <w:rsid w:val="59537CF9"/>
    <w:rsid w:val="59645864"/>
    <w:rsid w:val="596B1600"/>
    <w:rsid w:val="597F2EC3"/>
    <w:rsid w:val="59891419"/>
    <w:rsid w:val="59B43932"/>
    <w:rsid w:val="59E143BB"/>
    <w:rsid w:val="5A1C57D2"/>
    <w:rsid w:val="5A2550C5"/>
    <w:rsid w:val="5A2E718C"/>
    <w:rsid w:val="5A4254B1"/>
    <w:rsid w:val="5AB604F1"/>
    <w:rsid w:val="5ADA30D5"/>
    <w:rsid w:val="5B0046C9"/>
    <w:rsid w:val="5B33720F"/>
    <w:rsid w:val="5B355FC0"/>
    <w:rsid w:val="5BD20AD2"/>
    <w:rsid w:val="5C873088"/>
    <w:rsid w:val="5CB73867"/>
    <w:rsid w:val="5D901D6B"/>
    <w:rsid w:val="5D9233EA"/>
    <w:rsid w:val="5DBF0E47"/>
    <w:rsid w:val="5DC45DBE"/>
    <w:rsid w:val="5DC5615F"/>
    <w:rsid w:val="5E320D32"/>
    <w:rsid w:val="5E3A23A6"/>
    <w:rsid w:val="5E40400B"/>
    <w:rsid w:val="5E426981"/>
    <w:rsid w:val="5E7F0481"/>
    <w:rsid w:val="5E8B2D52"/>
    <w:rsid w:val="5EA722F0"/>
    <w:rsid w:val="5F627CBD"/>
    <w:rsid w:val="5F6D0C22"/>
    <w:rsid w:val="5FBC589C"/>
    <w:rsid w:val="5FF330FC"/>
    <w:rsid w:val="600C4F35"/>
    <w:rsid w:val="601C418A"/>
    <w:rsid w:val="601F6760"/>
    <w:rsid w:val="60312EBD"/>
    <w:rsid w:val="60496D39"/>
    <w:rsid w:val="6092785E"/>
    <w:rsid w:val="60A14E0E"/>
    <w:rsid w:val="60BB6BBF"/>
    <w:rsid w:val="6118125A"/>
    <w:rsid w:val="61403A29"/>
    <w:rsid w:val="623E0A93"/>
    <w:rsid w:val="6240174B"/>
    <w:rsid w:val="62490A5A"/>
    <w:rsid w:val="626605A8"/>
    <w:rsid w:val="629457A8"/>
    <w:rsid w:val="629A21BA"/>
    <w:rsid w:val="62A43AF9"/>
    <w:rsid w:val="63354556"/>
    <w:rsid w:val="63710425"/>
    <w:rsid w:val="637512DF"/>
    <w:rsid w:val="637E23A2"/>
    <w:rsid w:val="638920E0"/>
    <w:rsid w:val="63A177C9"/>
    <w:rsid w:val="63C4679E"/>
    <w:rsid w:val="642379C5"/>
    <w:rsid w:val="642E15AE"/>
    <w:rsid w:val="64531F05"/>
    <w:rsid w:val="647C3B42"/>
    <w:rsid w:val="64D34B2D"/>
    <w:rsid w:val="651376B7"/>
    <w:rsid w:val="656649C4"/>
    <w:rsid w:val="6568692A"/>
    <w:rsid w:val="65A44F7D"/>
    <w:rsid w:val="65D67393"/>
    <w:rsid w:val="65D93B1D"/>
    <w:rsid w:val="663650FC"/>
    <w:rsid w:val="663C25E1"/>
    <w:rsid w:val="666F013A"/>
    <w:rsid w:val="66BC0E05"/>
    <w:rsid w:val="670A3E86"/>
    <w:rsid w:val="67230D95"/>
    <w:rsid w:val="672A3BCD"/>
    <w:rsid w:val="678D3871"/>
    <w:rsid w:val="68216299"/>
    <w:rsid w:val="686660AE"/>
    <w:rsid w:val="688F2809"/>
    <w:rsid w:val="68AE41F3"/>
    <w:rsid w:val="68CD10A4"/>
    <w:rsid w:val="692861FC"/>
    <w:rsid w:val="693037E7"/>
    <w:rsid w:val="695A5B5C"/>
    <w:rsid w:val="697F74A7"/>
    <w:rsid w:val="698C0ED7"/>
    <w:rsid w:val="699B2B73"/>
    <w:rsid w:val="69A770EA"/>
    <w:rsid w:val="69F151AF"/>
    <w:rsid w:val="6A021E17"/>
    <w:rsid w:val="6A345EFD"/>
    <w:rsid w:val="6A4F71C1"/>
    <w:rsid w:val="6A563F89"/>
    <w:rsid w:val="6A6C2EB7"/>
    <w:rsid w:val="6AA80864"/>
    <w:rsid w:val="6AA90889"/>
    <w:rsid w:val="6AB9328C"/>
    <w:rsid w:val="6AE2733A"/>
    <w:rsid w:val="6AED15E9"/>
    <w:rsid w:val="6AF0115C"/>
    <w:rsid w:val="6B156E29"/>
    <w:rsid w:val="6B3B6FA0"/>
    <w:rsid w:val="6B5E436A"/>
    <w:rsid w:val="6B7D189E"/>
    <w:rsid w:val="6BB74F29"/>
    <w:rsid w:val="6BBD5648"/>
    <w:rsid w:val="6C2B6830"/>
    <w:rsid w:val="6C912E54"/>
    <w:rsid w:val="6CAB2DE1"/>
    <w:rsid w:val="6D0A3E25"/>
    <w:rsid w:val="6D0E73EA"/>
    <w:rsid w:val="6D3B5643"/>
    <w:rsid w:val="6D483B8C"/>
    <w:rsid w:val="6D6546FD"/>
    <w:rsid w:val="6D953261"/>
    <w:rsid w:val="6DA84EE1"/>
    <w:rsid w:val="6DAE4873"/>
    <w:rsid w:val="6E1B5725"/>
    <w:rsid w:val="6E7B1D76"/>
    <w:rsid w:val="6F011566"/>
    <w:rsid w:val="6F303EEE"/>
    <w:rsid w:val="6F6E592F"/>
    <w:rsid w:val="6FB0317B"/>
    <w:rsid w:val="6FCB6592"/>
    <w:rsid w:val="706857DA"/>
    <w:rsid w:val="70A402CF"/>
    <w:rsid w:val="71377DD1"/>
    <w:rsid w:val="713853C7"/>
    <w:rsid w:val="71490590"/>
    <w:rsid w:val="7165302F"/>
    <w:rsid w:val="717F0A9B"/>
    <w:rsid w:val="719666A3"/>
    <w:rsid w:val="71E20D7F"/>
    <w:rsid w:val="71EA37C1"/>
    <w:rsid w:val="723E5444"/>
    <w:rsid w:val="72F56F08"/>
    <w:rsid w:val="72FA528F"/>
    <w:rsid w:val="72FD347C"/>
    <w:rsid w:val="73004BD7"/>
    <w:rsid w:val="731C5C06"/>
    <w:rsid w:val="7320588C"/>
    <w:rsid w:val="73211019"/>
    <w:rsid w:val="732F7379"/>
    <w:rsid w:val="73462E37"/>
    <w:rsid w:val="7365736C"/>
    <w:rsid w:val="73995854"/>
    <w:rsid w:val="73C96D17"/>
    <w:rsid w:val="73EE6EFF"/>
    <w:rsid w:val="73F27731"/>
    <w:rsid w:val="74687F9F"/>
    <w:rsid w:val="74842034"/>
    <w:rsid w:val="74A53A6F"/>
    <w:rsid w:val="74C374EF"/>
    <w:rsid w:val="75033020"/>
    <w:rsid w:val="750760F8"/>
    <w:rsid w:val="75162487"/>
    <w:rsid w:val="756B3D78"/>
    <w:rsid w:val="7577043B"/>
    <w:rsid w:val="757863CA"/>
    <w:rsid w:val="761210AA"/>
    <w:rsid w:val="76307E37"/>
    <w:rsid w:val="767C5C18"/>
    <w:rsid w:val="769D0054"/>
    <w:rsid w:val="76A271D0"/>
    <w:rsid w:val="76C11445"/>
    <w:rsid w:val="76F4660E"/>
    <w:rsid w:val="774D5183"/>
    <w:rsid w:val="776B6348"/>
    <w:rsid w:val="77A05FF6"/>
    <w:rsid w:val="77DF3816"/>
    <w:rsid w:val="77EA63A3"/>
    <w:rsid w:val="78503AFC"/>
    <w:rsid w:val="78797974"/>
    <w:rsid w:val="790700CB"/>
    <w:rsid w:val="7945193E"/>
    <w:rsid w:val="796A4C99"/>
    <w:rsid w:val="797B2BE8"/>
    <w:rsid w:val="799F5CAA"/>
    <w:rsid w:val="79C55BAD"/>
    <w:rsid w:val="79D67130"/>
    <w:rsid w:val="79D70E4C"/>
    <w:rsid w:val="79EB0AE8"/>
    <w:rsid w:val="7A44619D"/>
    <w:rsid w:val="7AC13FB3"/>
    <w:rsid w:val="7BED7793"/>
    <w:rsid w:val="7C2408DA"/>
    <w:rsid w:val="7C584AB6"/>
    <w:rsid w:val="7C8901FC"/>
    <w:rsid w:val="7C947FD8"/>
    <w:rsid w:val="7CB207A5"/>
    <w:rsid w:val="7CB81C44"/>
    <w:rsid w:val="7CE10A11"/>
    <w:rsid w:val="7CEC5144"/>
    <w:rsid w:val="7CF661E0"/>
    <w:rsid w:val="7D262131"/>
    <w:rsid w:val="7D916B14"/>
    <w:rsid w:val="7DC77F34"/>
    <w:rsid w:val="7DE24624"/>
    <w:rsid w:val="7DF1189C"/>
    <w:rsid w:val="7DFA3191"/>
    <w:rsid w:val="7E387F4E"/>
    <w:rsid w:val="7E3A3571"/>
    <w:rsid w:val="7E3D449D"/>
    <w:rsid w:val="7E41747D"/>
    <w:rsid w:val="7E525F40"/>
    <w:rsid w:val="7EAE7C4B"/>
    <w:rsid w:val="7EB47782"/>
    <w:rsid w:val="7EDE44E4"/>
    <w:rsid w:val="7EE81588"/>
    <w:rsid w:val="7EFC0521"/>
    <w:rsid w:val="7F082B8F"/>
    <w:rsid w:val="7F0A2441"/>
    <w:rsid w:val="7F755508"/>
    <w:rsid w:val="7FAC0C81"/>
    <w:rsid w:val="7FAF78C9"/>
    <w:rsid w:val="7FBB2973"/>
    <w:rsid w:val="7FC45B46"/>
    <w:rsid w:val="7FFF7A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 w:type="paragraph" w:customStyle="1" w:styleId="8">
    <w:name w:val="列出段落1"/>
    <w:basedOn w:val="1"/>
    <w:qFormat/>
    <w:uiPriority w:val="0"/>
    <w:pPr>
      <w:ind w:firstLine="420" w:firstLineChars="200"/>
    </w:pPr>
    <w:rPr>
      <w:rFonts w:ascii="Calibri" w:hAnsi="Calibri" w:eastAsia="宋体" w:cs="Times New Roman"/>
    </w:rPr>
  </w:style>
  <w:style w:type="paragraph" w:styleId="9">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番茄花园</Company>
  <Pages>13</Pages>
  <Words>774</Words>
  <Characters>4413</Characters>
  <Lines>36</Lines>
  <Paragraphs>10</Paragraphs>
  <TotalTime>0</TotalTime>
  <ScaleCrop>false</ScaleCrop>
  <LinksUpToDate>false</LinksUpToDate>
  <CharactersWithSpaces>5177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2018-08-21T13:39:00Z</dcterms:created>
  <dc:creator>先红</dc:creator>
  <cp:lastModifiedBy>Administrator</cp:lastModifiedBy>
  <cp:lastPrinted>2019-07-09T04:25:00Z</cp:lastPrinted>
  <dcterms:modified xsi:type="dcterms:W3CDTF">2022-12-05T11:06:40Z</dcterms:modified>
  <cp:revision>125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